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CellMar>
          <w:left w:w="0" w:type="dxa"/>
          <w:right w:w="0" w:type="dxa"/>
        </w:tblCellMar>
        <w:tblLook w:val="04A0" w:firstRow="1" w:lastRow="0" w:firstColumn="1" w:lastColumn="0" w:noHBand="0" w:noVBand="1"/>
      </w:tblPr>
      <w:tblGrid>
        <w:gridCol w:w="3397"/>
        <w:gridCol w:w="6521"/>
      </w:tblGrid>
      <w:tr w:rsidR="001235E8" w:rsidRPr="001235E8">
        <w:trPr>
          <w:jc w:val="center"/>
        </w:trPr>
        <w:tc>
          <w:tcPr>
            <w:tcW w:w="3397" w:type="dxa"/>
          </w:tcPr>
          <w:p w:rsidR="005B344D" w:rsidRPr="001235E8" w:rsidRDefault="005B4D3A" w:rsidP="00972FFE">
            <w:pPr>
              <w:pStyle w:val="NormalWeb"/>
              <w:spacing w:before="0" w:after="0"/>
              <w:ind w:firstLine="142"/>
              <w:jc w:val="center"/>
              <w:rPr>
                <w:rFonts w:eastAsia="Calibri"/>
                <w:b/>
                <w:bCs/>
                <w:sz w:val="26"/>
                <w:szCs w:val="26"/>
                <w:lang w:val="en-US"/>
              </w:rPr>
            </w:pPr>
            <w:bookmarkStart w:id="0" w:name="loai_1"/>
            <w:bookmarkStart w:id="1" w:name="muc_2"/>
            <w:bookmarkStart w:id="2" w:name="_GoBack"/>
            <w:bookmarkEnd w:id="2"/>
            <w:r w:rsidRPr="001235E8">
              <w:rPr>
                <w:rFonts w:eastAsia="Calibri"/>
                <w:b/>
                <w:bCs/>
                <w:sz w:val="26"/>
                <w:szCs w:val="26"/>
                <w:lang w:val="en-US"/>
              </w:rPr>
              <w:t>HỘI ĐỒNG NHÂN DÂN</w:t>
            </w:r>
          </w:p>
          <w:p w:rsidR="005B344D" w:rsidRPr="001235E8" w:rsidRDefault="005B4D3A" w:rsidP="00972FFE">
            <w:pPr>
              <w:pStyle w:val="NormalWeb"/>
              <w:spacing w:before="0" w:after="0"/>
              <w:ind w:firstLine="142"/>
              <w:jc w:val="center"/>
              <w:rPr>
                <w:rFonts w:eastAsia="Calibri"/>
                <w:b/>
                <w:bCs/>
                <w:sz w:val="26"/>
                <w:szCs w:val="26"/>
                <w:lang w:val="en-US"/>
              </w:rPr>
            </w:pPr>
            <w:r w:rsidRPr="001235E8">
              <w:rPr>
                <w:rFonts w:eastAsia="Calibri"/>
                <w:b/>
                <w:bCs/>
                <w:sz w:val="26"/>
                <w:szCs w:val="26"/>
                <w:lang w:val="en-US"/>
              </w:rPr>
              <w:t>THÀNH PHỐ HÀ NỘI</w:t>
            </w:r>
          </w:p>
        </w:tc>
        <w:tc>
          <w:tcPr>
            <w:tcW w:w="6521" w:type="dxa"/>
          </w:tcPr>
          <w:p w:rsidR="005B344D" w:rsidRPr="001235E8" w:rsidRDefault="005B4D3A" w:rsidP="00972FFE">
            <w:pPr>
              <w:pStyle w:val="NormalWeb"/>
              <w:spacing w:before="0" w:after="0"/>
              <w:ind w:firstLine="142"/>
              <w:jc w:val="center"/>
              <w:rPr>
                <w:rFonts w:eastAsia="Calibri"/>
                <w:b/>
                <w:bCs/>
                <w:sz w:val="26"/>
                <w:szCs w:val="26"/>
                <w:lang w:val="en-US"/>
              </w:rPr>
            </w:pPr>
            <w:r w:rsidRPr="001235E8">
              <w:rPr>
                <w:rFonts w:eastAsia="Calibri"/>
                <w:b/>
                <w:bCs/>
                <w:sz w:val="26"/>
                <w:szCs w:val="26"/>
                <w:lang w:val="en-US"/>
              </w:rPr>
              <w:t>CỘNG HOÀ XÃ HỘI CHỦ NGHĨA VIỆT NAM</w:t>
            </w:r>
          </w:p>
          <w:p w:rsidR="005B344D" w:rsidRPr="001235E8" w:rsidRDefault="005B4D3A" w:rsidP="00972FFE">
            <w:pPr>
              <w:pStyle w:val="NormalWeb"/>
              <w:spacing w:before="0" w:after="0"/>
              <w:ind w:firstLine="142"/>
              <w:jc w:val="center"/>
              <w:rPr>
                <w:rFonts w:eastAsia="Calibri"/>
                <w:b/>
                <w:bCs/>
                <w:sz w:val="28"/>
                <w:szCs w:val="28"/>
                <w:lang w:val="en-US"/>
              </w:rPr>
            </w:pPr>
            <w:r w:rsidRPr="001235E8">
              <w:rPr>
                <w:rFonts w:eastAsia="Calibri"/>
                <w:b/>
                <w:bCs/>
                <w:sz w:val="28"/>
                <w:szCs w:val="28"/>
                <w:lang w:val="en-US"/>
              </w:rPr>
              <w:t>Độc lập - Tự do - Hạnh phúc</w:t>
            </w:r>
          </w:p>
        </w:tc>
      </w:tr>
      <w:tr w:rsidR="001235E8" w:rsidRPr="001235E8">
        <w:trPr>
          <w:jc w:val="center"/>
        </w:trPr>
        <w:tc>
          <w:tcPr>
            <w:tcW w:w="3397" w:type="dxa"/>
          </w:tcPr>
          <w:p w:rsidR="005B344D" w:rsidRPr="001235E8" w:rsidRDefault="005B4D3A" w:rsidP="00972FFE">
            <w:pPr>
              <w:pStyle w:val="NormalWeb"/>
              <w:spacing w:before="240" w:after="0"/>
              <w:ind w:firstLine="142"/>
              <w:jc w:val="center"/>
              <w:rPr>
                <w:rFonts w:eastAsia="Calibri"/>
                <w:b/>
                <w:bCs/>
                <w:sz w:val="26"/>
                <w:szCs w:val="26"/>
                <w:lang w:val="en-US"/>
              </w:rPr>
            </w:pPr>
            <w:r w:rsidRPr="001235E8">
              <w:rPr>
                <w:rFonts w:eastAsia="Calibri"/>
                <w:b/>
                <w:bCs/>
                <w:noProof/>
                <w:sz w:val="26"/>
                <w:szCs w:val="26"/>
                <w:lang w:val="en-US" w:eastAsia="en-US"/>
              </w:rPr>
              <mc:AlternateContent>
                <mc:Choice Requires="wps">
                  <w:drawing>
                    <wp:anchor distT="0" distB="0" distL="114300" distR="114300" simplePos="0" relativeHeight="251660288" behindDoc="0" locked="0" layoutInCell="1" allowOverlap="1" wp14:anchorId="568C9AC9" wp14:editId="6B1AE829">
                      <wp:simplePos x="0" y="0"/>
                      <wp:positionH relativeFrom="column">
                        <wp:posOffset>612775</wp:posOffset>
                      </wp:positionH>
                      <wp:positionV relativeFrom="paragraph">
                        <wp:posOffset>8890</wp:posOffset>
                      </wp:positionV>
                      <wp:extent cx="690245" cy="0"/>
                      <wp:effectExtent l="0" t="0" r="0" b="9526"/>
                      <wp:wrapNone/>
                      <wp:docPr id="1790485270"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90245" cy="0"/>
                              </a:xfrm>
                              <a:prstGeom prst="straightConnector1">
                                <a:avLst/>
                              </a:prstGeom>
                              <a:noFill/>
                              <a:ln w="9525">
                                <a:solidFill>
                                  <a:srgbClr val="000000"/>
                                </a:solidFill>
                                <a:miter lim="800000"/>
                              </a:ln>
                            </wps:spPr>
                            <wps:bodyPr/>
                          </wps:wsp>
                        </a:graphicData>
                      </a:graphic>
                    </wp:anchor>
                  </w:drawing>
                </mc:Choice>
                <mc:Fallback xmlns:cx1="http://schemas.microsoft.com/office/drawing/2015/9/8/chartex" xmlns:a="http://schemas.openxmlformats.org/drawingml/2006/main" xmlns:aink="http://schemas.microsoft.com/office/drawing/2016/ink" xmlns:dgm="http://schemas.openxmlformats.org/drawingml/2006/diagram">
                  <w:pict>
                    <v:shape id="F6A65CCC-4FC7-AF79-40EDEF7B7408" coordsize="21600,21600" style="position:absolute;width:54.35pt;height:0pt;margin-top:0.7pt;margin-left:48.25pt;mso-wrap-distance-left:9pt;mso-wrap-distance-right:9pt;mso-wrap-distance-top:0pt;mso-wrap-distance-bottom:0pt;rotation:0.000000;z-index:251660288;" strokecolor="#000000" strokeweight="0.75pt" o:spt="32" o:oned="t" path="m0,0 l21600,21600 e">
                      <v:stroke color="#000000" filltype="solid" joinstyle="miter" linestyle="single" mitterlimit="800000" weight="0.75pt"/>
                      <w10:wrap side="both"/>
                      <o:lock/>
                    </v:shape>
                  </w:pict>
                </mc:Fallback>
              </mc:AlternateContent>
            </w:r>
            <w:r w:rsidRPr="001235E8">
              <w:rPr>
                <w:rFonts w:eastAsia="Calibri"/>
                <w:bCs/>
                <w:sz w:val="26"/>
                <w:szCs w:val="26"/>
                <w:lang w:val="en-US"/>
              </w:rPr>
              <w:t>Số        /2026/NQ-HĐND</w:t>
            </w:r>
          </w:p>
        </w:tc>
        <w:tc>
          <w:tcPr>
            <w:tcW w:w="6521" w:type="dxa"/>
          </w:tcPr>
          <w:p w:rsidR="005B344D" w:rsidRPr="001235E8" w:rsidRDefault="005B4D3A" w:rsidP="00972FFE">
            <w:pPr>
              <w:pStyle w:val="NormalWeb"/>
              <w:spacing w:before="240" w:after="0"/>
              <w:ind w:firstLine="142"/>
              <w:jc w:val="center"/>
              <w:rPr>
                <w:rFonts w:eastAsia="Calibri"/>
                <w:b/>
                <w:bCs/>
                <w:sz w:val="26"/>
                <w:szCs w:val="26"/>
                <w:lang w:val="en-US"/>
              </w:rPr>
            </w:pPr>
            <w:r w:rsidRPr="001235E8">
              <w:rPr>
                <w:rFonts w:eastAsia="Calibri"/>
                <w:b/>
                <w:bCs/>
                <w:noProof/>
                <w:sz w:val="28"/>
                <w:szCs w:val="28"/>
                <w:lang w:val="en-US" w:eastAsia="en-US"/>
              </w:rPr>
              <mc:AlternateContent>
                <mc:Choice Requires="wps">
                  <w:drawing>
                    <wp:anchor distT="0" distB="0" distL="114300" distR="114300" simplePos="0" relativeHeight="251661312" behindDoc="0" locked="0" layoutInCell="1" allowOverlap="1" wp14:anchorId="02495041" wp14:editId="51987BB2">
                      <wp:simplePos x="0" y="0"/>
                      <wp:positionH relativeFrom="column">
                        <wp:posOffset>946785</wp:posOffset>
                      </wp:positionH>
                      <wp:positionV relativeFrom="paragraph">
                        <wp:posOffset>8890</wp:posOffset>
                      </wp:positionV>
                      <wp:extent cx="2183765" cy="0"/>
                      <wp:effectExtent l="0" t="0" r="0" b="9526"/>
                      <wp:wrapNone/>
                      <wp:docPr id="179048527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183765" cy="0"/>
                              </a:xfrm>
                              <a:prstGeom prst="straightConnector1">
                                <a:avLst/>
                              </a:prstGeom>
                              <a:noFill/>
                              <a:ln w="9525">
                                <a:solidFill>
                                  <a:srgbClr val="000000"/>
                                </a:solidFill>
                                <a:miter lim="800000"/>
                              </a:ln>
                            </wps:spPr>
                            <wps:bodyPr/>
                          </wps:wsp>
                        </a:graphicData>
                      </a:graphic>
                    </wp:anchor>
                  </w:drawing>
                </mc:Choice>
                <mc:Fallback xmlns:cx1="http://schemas.microsoft.com/office/drawing/2015/9/8/chartex" xmlns:a="http://schemas.openxmlformats.org/drawingml/2006/main" xmlns:aink="http://schemas.microsoft.com/office/drawing/2016/ink" xmlns:dgm="http://schemas.openxmlformats.org/drawingml/2006/diagram">
                  <w:pict>
                    <v:shape id="B481427E-5EEB-E66D-EE5F04EE3BF3" coordsize="21600,21600" style="position:absolute;width:171.95pt;height:0pt;margin-top:0.7pt;margin-left:74.55pt;mso-wrap-distance-left:9pt;mso-wrap-distance-right:9pt;mso-wrap-distance-top:0pt;mso-wrap-distance-bottom:0pt;rotation:0.000000;z-index:251661312;" strokecolor="#000000" strokeweight="0.75pt" o:spt="32" o:oned="t" path="m0,0 l21600,21600 e">
                      <v:stroke color="#000000" filltype="solid" joinstyle="miter" linestyle="single" mitterlimit="800000" weight="0.75pt"/>
                      <w10:wrap side="both"/>
                      <o:lock/>
                    </v:shape>
                  </w:pict>
                </mc:Fallback>
              </mc:AlternateContent>
            </w:r>
            <w:r w:rsidRPr="001235E8">
              <w:rPr>
                <w:rFonts w:eastAsia="Calibri"/>
                <w:bCs/>
                <w:i/>
                <w:sz w:val="26"/>
                <w:szCs w:val="26"/>
                <w:lang w:val="en-US"/>
              </w:rPr>
              <w:t xml:space="preserve">Hà Nội, ngày      tháng </w:t>
            </w:r>
            <w:r w:rsidRPr="001235E8">
              <w:rPr>
                <w:rFonts w:eastAsia="Calibri"/>
                <w:bCs/>
                <w:i/>
                <w:sz w:val="26"/>
                <w:szCs w:val="26"/>
                <w:lang w:val="vi-VN"/>
              </w:rPr>
              <w:t xml:space="preserve">     </w:t>
            </w:r>
            <w:r w:rsidRPr="001235E8">
              <w:rPr>
                <w:rFonts w:eastAsia="Calibri"/>
                <w:bCs/>
                <w:i/>
                <w:sz w:val="26"/>
                <w:szCs w:val="26"/>
                <w:lang w:val="en-US"/>
              </w:rPr>
              <w:t xml:space="preserve"> năm </w:t>
            </w:r>
            <w:r w:rsidR="00885CF3" w:rsidRPr="001235E8">
              <w:rPr>
                <w:rFonts w:eastAsia="Calibri"/>
                <w:bCs/>
                <w:i/>
                <w:sz w:val="26"/>
                <w:szCs w:val="26"/>
                <w:lang w:val="vi-VN"/>
              </w:rPr>
              <w:t>2026</w:t>
            </w:r>
          </w:p>
        </w:tc>
      </w:tr>
    </w:tbl>
    <w:p w:rsidR="005B344D" w:rsidRPr="001235E8" w:rsidRDefault="005B4D3A" w:rsidP="00972FFE">
      <w:pPr>
        <w:pStyle w:val="NormalWeb"/>
        <w:shd w:val="clear" w:color="auto" w:fill="FFFFFF"/>
        <w:spacing w:before="120" w:after="0"/>
        <w:jc w:val="center"/>
        <w:rPr>
          <w:b/>
          <w:bCs/>
          <w:sz w:val="28"/>
          <w:szCs w:val="28"/>
          <w:lang w:val="en-US"/>
        </w:rPr>
      </w:pPr>
      <w:r w:rsidRPr="001235E8">
        <w:rPr>
          <w:b/>
          <w:bCs/>
          <w:noProof/>
          <w:sz w:val="28"/>
          <w:szCs w:val="28"/>
          <w:lang w:val="en-US" w:eastAsia="en-US"/>
        </w:rPr>
        <mc:AlternateContent>
          <mc:Choice Requires="wps">
            <w:drawing>
              <wp:anchor distT="0" distB="0" distL="114300" distR="114300" simplePos="0" relativeHeight="251672576" behindDoc="0" locked="0" layoutInCell="1" allowOverlap="1" wp14:anchorId="61CE2A57" wp14:editId="3D3B31CF">
                <wp:simplePos x="0" y="0"/>
                <wp:positionH relativeFrom="column">
                  <wp:posOffset>175895</wp:posOffset>
                </wp:positionH>
                <wp:positionV relativeFrom="paragraph">
                  <wp:posOffset>82854</wp:posOffset>
                </wp:positionV>
                <wp:extent cx="1341912" cy="326004"/>
                <wp:effectExtent l="0" t="0" r="10795" b="17145"/>
                <wp:wrapNone/>
                <wp:docPr id="179048527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1912" cy="326004"/>
                        </a:xfrm>
                        <a:prstGeom prst="rect">
                          <a:avLst/>
                        </a:prstGeom>
                      </wps:spPr>
                      <wps:style>
                        <a:lnRef idx="2">
                          <a:schemeClr val="accent6"/>
                        </a:lnRef>
                        <a:fillRef idx="1">
                          <a:schemeClr val="lt1"/>
                        </a:fillRef>
                        <a:effectRef idx="0">
                          <a:schemeClr val="accent6"/>
                        </a:effectRef>
                        <a:fontRef idx="minor">
                          <a:schemeClr val="dk1"/>
                        </a:fontRef>
                      </wps:style>
                      <wps:txbx>
                        <w:txbxContent>
                          <w:p w:rsidR="005B344D" w:rsidRDefault="005B4D3A">
                            <w:pPr>
                              <w:jc w:val="center"/>
                              <w:rPr>
                                <w:b/>
                                <w:bCs/>
                              </w:rPr>
                            </w:pPr>
                            <w:r>
                              <w:rPr>
                                <w:b/>
                                <w:bCs/>
                              </w:rPr>
                              <w:t>DỰ THẢO</w:t>
                            </w:r>
                          </w:p>
                        </w:txbxContent>
                      </wps:txbx>
                      <wps:bodyPr rot="0" spcFirstLastPara="0" vertOverflow="overflow" horzOverflow="overflow" vert="horz" wrap="square" lIns="91440" tIns="45720" rIns="91440" bIns="45720" rtlCol="0" anchor="ctr">
                        <a:prstTxWarp prst="textNoShape">
                          <a:avLst/>
                        </a:prstTxWarp>
                        <a:noAutofit/>
                      </wps:bodyPr>
                    </wps:wsp>
                  </a:graphicData>
                </a:graphic>
                <wp14:sizeRelV relativeFrom="margin">
                  <wp14:pctHeight>0</wp14:pctHeight>
                </wp14:sizeRelV>
              </wp:anchor>
            </w:drawing>
          </mc:Choice>
          <mc:Fallback>
            <w:pict>
              <v:rect w14:anchorId="61CE2A57" id="Rectangle 14" o:spid="_x0000_s1026" style="position:absolute;left:0;text-align:left;margin-left:13.85pt;margin-top:6.5pt;width:105.65pt;height:25.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" fillcolor="white [3201]" strokecolor="#70ad47 [3209]" strokeweight="1pt">
                <v:path arrowok="t"/>
                <v:textbox>
                  <w:txbxContent>
                    <w:p w:rsidR="005B344D" w:rsidRDefault="005B4D3A">
                      <w:pPr>
                        <w:jc w:val="center"/>
                        <w:rPr>
                          <w:b/>
                          <w:bCs/>
                        </w:rPr>
                      </w:pPr>
                      <w:r>
                        <w:rPr>
                          <w:b/>
                          <w:bCs/>
                        </w:rPr>
                        <w:t>DỰ THẢO</w:t>
                      </w:r>
                    </w:p>
                  </w:txbxContent>
                </v:textbox>
              </v:rect>
            </w:pict>
          </mc:Fallback>
        </mc:AlternateContent>
      </w:r>
    </w:p>
    <w:p w:rsidR="005B344D" w:rsidRPr="001235E8" w:rsidRDefault="005B4D3A" w:rsidP="00972FFE">
      <w:pPr>
        <w:pStyle w:val="NormalWeb"/>
        <w:shd w:val="clear" w:color="auto" w:fill="FFFFFF"/>
        <w:spacing w:before="0" w:after="0"/>
        <w:jc w:val="center"/>
        <w:rPr>
          <w:sz w:val="28"/>
          <w:szCs w:val="28"/>
          <w:lang w:val="en-US"/>
        </w:rPr>
      </w:pPr>
      <w:r w:rsidRPr="001235E8">
        <w:rPr>
          <w:b/>
          <w:bCs/>
          <w:sz w:val="28"/>
          <w:szCs w:val="28"/>
          <w:lang w:val="en-US"/>
        </w:rPr>
        <w:t>N</w:t>
      </w:r>
      <w:r w:rsidRPr="001235E8">
        <w:rPr>
          <w:b/>
          <w:bCs/>
          <w:sz w:val="28"/>
          <w:szCs w:val="28"/>
          <w:lang w:val="vi-VN"/>
        </w:rPr>
        <w:t>GHỊ QUYẾT</w:t>
      </w:r>
      <w:bookmarkEnd w:id="0"/>
    </w:p>
    <w:p w:rsidR="005B344D" w:rsidRPr="001235E8" w:rsidRDefault="005B4D3A" w:rsidP="00972FFE">
      <w:pPr>
        <w:spacing w:before="60"/>
        <w:jc w:val="center"/>
        <w:rPr>
          <w:b/>
          <w:bCs/>
          <w:sz w:val="28"/>
          <w:szCs w:val="28"/>
        </w:rPr>
      </w:pPr>
      <w:r w:rsidRPr="001235E8">
        <w:rPr>
          <w:b/>
          <w:bCs/>
          <w:sz w:val="28"/>
          <w:szCs w:val="28"/>
          <w:lang w:val="vi-VN"/>
        </w:rPr>
        <w:t>Quy định</w:t>
      </w:r>
      <w:r w:rsidRPr="001235E8">
        <w:rPr>
          <w:b/>
          <w:bCs/>
          <w:sz w:val="28"/>
          <w:szCs w:val="28"/>
        </w:rPr>
        <w:t xml:space="preserve"> thí điểm cơ chế, chính sách phát triển mô hình nông nghiệp sinh thái, nông nghiệp ứng dụng công nghệ cao, nông nghiệp đô thị </w:t>
      </w:r>
    </w:p>
    <w:p w:rsidR="005B344D" w:rsidRPr="001235E8" w:rsidRDefault="005B4D3A" w:rsidP="00972FFE">
      <w:pPr>
        <w:jc w:val="center"/>
        <w:rPr>
          <w:b/>
          <w:bCs/>
          <w:sz w:val="28"/>
          <w:szCs w:val="28"/>
        </w:rPr>
      </w:pPr>
      <w:r w:rsidRPr="001235E8">
        <w:rPr>
          <w:b/>
          <w:bCs/>
          <w:sz w:val="28"/>
          <w:szCs w:val="28"/>
        </w:rPr>
        <w:t>trên địa bàn thành phố Hà Nội</w:t>
      </w:r>
    </w:p>
    <w:p w:rsidR="005B344D" w:rsidRPr="000A3EBD" w:rsidRDefault="005B4D3A" w:rsidP="00972FFE">
      <w:pPr>
        <w:spacing w:before="120"/>
        <w:jc w:val="center"/>
        <w:rPr>
          <w:i/>
          <w:iCs/>
          <w:sz w:val="22"/>
          <w:szCs w:val="28"/>
        </w:rPr>
      </w:pPr>
      <w:r w:rsidRPr="001235E8">
        <w:rPr>
          <w:i/>
          <w:sz w:val="28"/>
          <w:szCs w:val="28"/>
        </w:rPr>
        <w:t xml:space="preserve">  (Thực hiện điểm c khoản 3, khoản 4 Điều 9 của Luật Thủ đô số </w:t>
      </w:r>
      <w:r w:rsidR="00930140">
        <w:rPr>
          <w:i/>
          <w:sz w:val="28"/>
          <w:szCs w:val="28"/>
        </w:rPr>
        <w:t>02</w:t>
      </w:r>
      <w:r w:rsidRPr="001235E8">
        <w:rPr>
          <w:i/>
          <w:sz w:val="28"/>
          <w:szCs w:val="28"/>
        </w:rPr>
        <w:t>/2026/QH16)</w:t>
      </w:r>
      <w:r w:rsidRPr="001235E8">
        <w:rPr>
          <w:i/>
          <w:sz w:val="28"/>
          <w:szCs w:val="28"/>
          <w:lang w:val="vi-VN"/>
        </w:rPr>
        <w:br/>
      </w:r>
      <w:bookmarkStart w:id="3" w:name="_Hlk197537068"/>
      <w:bookmarkStart w:id="4" w:name="_Hlk192492625"/>
    </w:p>
    <w:p w:rsidR="005B344D" w:rsidRPr="001235E8" w:rsidRDefault="005B4D3A" w:rsidP="00972FFE">
      <w:pPr>
        <w:pStyle w:val="NormalWeb"/>
        <w:shd w:val="clear" w:color="auto" w:fill="FFFFFF"/>
        <w:spacing w:before="80" w:after="0"/>
        <w:ind w:firstLine="567"/>
        <w:jc w:val="both"/>
        <w:rPr>
          <w:i/>
          <w:iCs/>
          <w:sz w:val="28"/>
          <w:szCs w:val="28"/>
          <w:lang w:val="en-US"/>
        </w:rPr>
      </w:pPr>
      <w:r w:rsidRPr="001235E8">
        <w:rPr>
          <w:i/>
          <w:iCs/>
          <w:sz w:val="28"/>
          <w:szCs w:val="28"/>
          <w:lang w:val="vi-VN"/>
        </w:rPr>
        <w:t>Căn cứ Luật Tổ chức chính quyền địa phương</w:t>
      </w:r>
      <w:r w:rsidRPr="001235E8">
        <w:rPr>
          <w:i/>
          <w:iCs/>
          <w:sz w:val="28"/>
          <w:szCs w:val="28"/>
          <w:lang w:val="en-US"/>
        </w:rPr>
        <w:t xml:space="preserve"> </w:t>
      </w:r>
      <w:r w:rsidRPr="001235E8">
        <w:rPr>
          <w:i/>
          <w:sz w:val="28"/>
          <w:szCs w:val="28"/>
          <w:lang w:val="vi-VN"/>
        </w:rPr>
        <w:t>số 72/2025/QH15</w:t>
      </w:r>
      <w:r w:rsidRPr="001235E8">
        <w:rPr>
          <w:i/>
          <w:iCs/>
          <w:sz w:val="28"/>
          <w:szCs w:val="28"/>
          <w:lang w:val="vi-VN"/>
        </w:rPr>
        <w:t>;</w:t>
      </w:r>
    </w:p>
    <w:p w:rsidR="005B344D" w:rsidRPr="001235E8" w:rsidRDefault="005B4D3A" w:rsidP="00972FFE">
      <w:pPr>
        <w:pStyle w:val="NormalWeb"/>
        <w:shd w:val="clear" w:color="auto" w:fill="FFFFFF"/>
        <w:spacing w:before="80" w:after="0"/>
        <w:ind w:firstLine="567"/>
        <w:jc w:val="both"/>
        <w:rPr>
          <w:i/>
          <w:iCs/>
          <w:sz w:val="28"/>
          <w:szCs w:val="28"/>
          <w:lang w:val="en-US"/>
        </w:rPr>
      </w:pPr>
      <w:r w:rsidRPr="001235E8">
        <w:rPr>
          <w:i/>
          <w:iCs/>
          <w:sz w:val="28"/>
          <w:szCs w:val="28"/>
          <w:lang w:val="en-US"/>
        </w:rPr>
        <w:t xml:space="preserve">Căn cứ Luật Ban hành văn bản quy phạm pháp luật </w:t>
      </w:r>
      <w:r w:rsidRPr="001235E8">
        <w:rPr>
          <w:i/>
          <w:sz w:val="28"/>
          <w:szCs w:val="28"/>
          <w:lang w:val="vi-VN"/>
        </w:rPr>
        <w:t>số 64/2025/QH15</w:t>
      </w:r>
      <w:r w:rsidRPr="001235E8">
        <w:rPr>
          <w:i/>
          <w:iCs/>
          <w:sz w:val="28"/>
          <w:szCs w:val="28"/>
          <w:lang w:val="en-US"/>
        </w:rPr>
        <w:t xml:space="preserve">; Luật sửa đổi, bổ sung một số điều của Luật Ban hành văn bản quy phạm pháp luật </w:t>
      </w:r>
      <w:r w:rsidRPr="001235E8">
        <w:rPr>
          <w:i/>
          <w:sz w:val="28"/>
          <w:szCs w:val="28"/>
          <w:lang w:val="vi-VN"/>
        </w:rPr>
        <w:t>số 87/2025/QH15</w:t>
      </w:r>
      <w:r w:rsidRPr="001235E8">
        <w:rPr>
          <w:i/>
          <w:iCs/>
          <w:sz w:val="28"/>
          <w:szCs w:val="28"/>
          <w:lang w:val="en-US"/>
        </w:rPr>
        <w:t>;</w:t>
      </w:r>
    </w:p>
    <w:bookmarkEnd w:id="3"/>
    <w:bookmarkEnd w:id="4"/>
    <w:p w:rsidR="005B344D" w:rsidRPr="001235E8" w:rsidRDefault="005B4D3A" w:rsidP="00972FFE">
      <w:pPr>
        <w:pStyle w:val="NormalWeb"/>
        <w:shd w:val="clear" w:color="auto" w:fill="FFFFFF"/>
        <w:spacing w:before="80" w:after="0"/>
        <w:ind w:firstLine="567"/>
        <w:jc w:val="both"/>
        <w:rPr>
          <w:i/>
          <w:iCs/>
          <w:sz w:val="28"/>
          <w:szCs w:val="28"/>
          <w:lang w:val="vi-VN" w:eastAsia="en-US"/>
        </w:rPr>
      </w:pPr>
      <w:r w:rsidRPr="001235E8">
        <w:rPr>
          <w:i/>
          <w:iCs/>
          <w:sz w:val="28"/>
          <w:szCs w:val="28"/>
          <w:lang w:val="vi-VN" w:eastAsia="en-US"/>
        </w:rPr>
        <w:t xml:space="preserve">Căn cứ Luật Ngân sách Nhà nước </w:t>
      </w:r>
      <w:r w:rsidRPr="001235E8">
        <w:rPr>
          <w:i/>
          <w:iCs/>
          <w:sz w:val="28"/>
          <w:szCs w:val="28"/>
          <w:lang w:val="en-US" w:eastAsia="en-US"/>
        </w:rPr>
        <w:t>số 89/2025/QH15;</w:t>
      </w:r>
    </w:p>
    <w:p w:rsidR="005B344D" w:rsidRPr="001235E8" w:rsidRDefault="005B4D3A" w:rsidP="00972FFE">
      <w:pPr>
        <w:pStyle w:val="NormalWeb"/>
        <w:shd w:val="clear" w:color="auto" w:fill="FFFFFF"/>
        <w:spacing w:before="80" w:after="0"/>
        <w:ind w:firstLine="567"/>
        <w:jc w:val="both"/>
        <w:rPr>
          <w:i/>
          <w:sz w:val="28"/>
          <w:szCs w:val="28"/>
          <w:lang w:val="vi-VN"/>
        </w:rPr>
      </w:pPr>
      <w:r w:rsidRPr="001235E8">
        <w:rPr>
          <w:i/>
          <w:sz w:val="28"/>
          <w:szCs w:val="28"/>
          <w:lang w:val="vi-VN"/>
        </w:rPr>
        <w:t xml:space="preserve">Căn cứ Luật Thủ đô số </w:t>
      </w:r>
      <w:r w:rsidR="00930140">
        <w:rPr>
          <w:i/>
          <w:sz w:val="28"/>
          <w:szCs w:val="28"/>
          <w:lang w:val="en-US"/>
        </w:rPr>
        <w:t>02/</w:t>
      </w:r>
      <w:r w:rsidRPr="001235E8">
        <w:rPr>
          <w:i/>
          <w:sz w:val="28"/>
          <w:szCs w:val="28"/>
          <w:lang w:val="vi-VN"/>
        </w:rPr>
        <w:t>2026/QH16;</w:t>
      </w:r>
    </w:p>
    <w:p w:rsidR="005B344D" w:rsidRPr="001235E8" w:rsidRDefault="005B4D3A" w:rsidP="00972FFE">
      <w:pPr>
        <w:pStyle w:val="NormalWeb"/>
        <w:shd w:val="clear" w:color="auto" w:fill="FFFFFF"/>
        <w:spacing w:before="80" w:after="0"/>
        <w:ind w:firstLine="567"/>
        <w:jc w:val="both"/>
        <w:rPr>
          <w:i/>
          <w:iCs/>
          <w:sz w:val="28"/>
          <w:szCs w:val="28"/>
          <w:lang w:val="vi-VN"/>
        </w:rPr>
      </w:pPr>
      <w:r w:rsidRPr="001235E8">
        <w:rPr>
          <w:i/>
          <w:iCs/>
          <w:sz w:val="28"/>
          <w:szCs w:val="28"/>
          <w:lang w:val="vi-VN"/>
        </w:rPr>
        <w:t xml:space="preserve">Xét Tờ trình số         /TTr-UBND ngày      tháng     năm 2026 của Ủy ban nhân dân Thành phố về việc đề nghị ban hành Nghị quyết </w:t>
      </w:r>
      <w:r w:rsidRPr="001235E8">
        <w:rPr>
          <w:bCs/>
          <w:i/>
          <w:sz w:val="28"/>
          <w:szCs w:val="28"/>
          <w:lang w:val="vi-VN"/>
        </w:rPr>
        <w:t>thí điểm cơ chế, chính sách phát triển mô hình nông nghiệp sinh thái, nông nghiệp ứng dụng công nghệ cao, nông nghiệp đô thị trên địa bàn thành phố Hà Nội</w:t>
      </w:r>
      <w:r w:rsidRPr="001235E8">
        <w:rPr>
          <w:i/>
          <w:iCs/>
          <w:sz w:val="28"/>
          <w:szCs w:val="28"/>
          <w:lang w:val="vi-VN"/>
        </w:rPr>
        <w:t>; Báo cáo thẩm tra số      /BC-BKTNS ngày     tháng    năm 2026 của Ban Kinh tế - Ngân sách Hội đồng nhân dân Thành phố; văn bản số     ngày    tháng  năm 2026 của Ủy ban nhân dân Thành phố về việc tiếp thu, giải trình…; và ý kiến thảo luận của đại biểu Hội đồng nhân dân Thành phố tại kỳ họp;</w:t>
      </w:r>
    </w:p>
    <w:p w:rsidR="005B344D" w:rsidRPr="001235E8" w:rsidRDefault="005B4D3A" w:rsidP="00972FFE">
      <w:pPr>
        <w:pStyle w:val="NormalWeb"/>
        <w:shd w:val="clear" w:color="auto" w:fill="FFFFFF"/>
        <w:spacing w:before="80" w:after="0"/>
        <w:ind w:firstLine="567"/>
        <w:jc w:val="both"/>
        <w:rPr>
          <w:i/>
          <w:iCs/>
          <w:sz w:val="28"/>
          <w:szCs w:val="28"/>
          <w:lang w:val="vi-VN"/>
        </w:rPr>
      </w:pPr>
      <w:r w:rsidRPr="001235E8">
        <w:rPr>
          <w:i/>
          <w:iCs/>
          <w:sz w:val="28"/>
          <w:szCs w:val="28"/>
          <w:lang w:val="vi-VN"/>
        </w:rPr>
        <w:t xml:space="preserve">Hội đồng nhân dân thành phố Hà Nội ban hành Nghị quyết Quy định </w:t>
      </w:r>
      <w:r w:rsidRPr="001235E8">
        <w:rPr>
          <w:bCs/>
          <w:i/>
          <w:sz w:val="28"/>
          <w:szCs w:val="28"/>
          <w:lang w:val="vi-VN"/>
        </w:rPr>
        <w:t>thí điểm cơ chế, chính sách phát triển mô hình nông nghiệp sinh thái, nông nghiệp ứng dụng công nghệ cao, nông nghiệp đô thị trên địa bàn thành phố Hà Nội</w:t>
      </w:r>
      <w:r w:rsidRPr="001235E8">
        <w:rPr>
          <w:i/>
          <w:iCs/>
          <w:sz w:val="28"/>
          <w:szCs w:val="28"/>
          <w:lang w:val="vi-VN"/>
        </w:rPr>
        <w:t>.</w:t>
      </w:r>
    </w:p>
    <w:p w:rsidR="005B344D" w:rsidRPr="001235E8" w:rsidRDefault="005B344D" w:rsidP="00972FFE">
      <w:pPr>
        <w:jc w:val="center"/>
        <w:rPr>
          <w:b/>
          <w:bCs/>
          <w:sz w:val="10"/>
          <w:szCs w:val="28"/>
          <w:lang w:val="vi-VN"/>
        </w:rPr>
      </w:pPr>
      <w:bookmarkStart w:id="5" w:name="chuong_4"/>
    </w:p>
    <w:p w:rsidR="005B344D" w:rsidRPr="001235E8" w:rsidRDefault="005B4D3A" w:rsidP="00972FFE">
      <w:pPr>
        <w:spacing w:before="120"/>
        <w:jc w:val="center"/>
        <w:rPr>
          <w:b/>
          <w:bCs/>
          <w:sz w:val="28"/>
          <w:szCs w:val="28"/>
        </w:rPr>
      </w:pPr>
      <w:r w:rsidRPr="001235E8">
        <w:rPr>
          <w:b/>
          <w:bCs/>
          <w:sz w:val="28"/>
          <w:szCs w:val="28"/>
        </w:rPr>
        <w:t>Chương I</w:t>
      </w:r>
    </w:p>
    <w:p w:rsidR="005B344D" w:rsidRPr="001235E8" w:rsidRDefault="005B4D3A" w:rsidP="00972FFE">
      <w:pPr>
        <w:jc w:val="center"/>
        <w:rPr>
          <w:sz w:val="28"/>
          <w:szCs w:val="28"/>
        </w:rPr>
      </w:pPr>
      <w:r w:rsidRPr="001235E8">
        <w:rPr>
          <w:b/>
          <w:bCs/>
          <w:sz w:val="28"/>
          <w:szCs w:val="28"/>
        </w:rPr>
        <w:t>NHỮNG QUY ĐỊNH CHUNG</w:t>
      </w:r>
    </w:p>
    <w:p w:rsidR="005B344D" w:rsidRPr="001235E8" w:rsidRDefault="005B4D3A" w:rsidP="00972FFE">
      <w:pPr>
        <w:spacing w:before="80"/>
        <w:ind w:firstLine="567"/>
        <w:rPr>
          <w:b/>
          <w:bCs/>
          <w:sz w:val="28"/>
          <w:szCs w:val="28"/>
        </w:rPr>
      </w:pPr>
      <w:r w:rsidRPr="001235E8">
        <w:rPr>
          <w:b/>
          <w:bCs/>
          <w:sz w:val="28"/>
          <w:szCs w:val="28"/>
        </w:rPr>
        <w:t>Điều 1. Phạm vi điều chỉnh</w:t>
      </w:r>
    </w:p>
    <w:p w:rsidR="0015110A" w:rsidRPr="001235E8" w:rsidRDefault="005B4D3A" w:rsidP="00972FFE">
      <w:pPr>
        <w:spacing w:before="80"/>
        <w:ind w:firstLine="567"/>
        <w:jc w:val="both"/>
        <w:rPr>
          <w:sz w:val="28"/>
          <w:szCs w:val="28"/>
        </w:rPr>
      </w:pPr>
      <w:r w:rsidRPr="001235E8">
        <w:rPr>
          <w:sz w:val="28"/>
          <w:szCs w:val="28"/>
        </w:rPr>
        <w:t>1. Nghị quyết này quy định cơ chế, chính sách</w:t>
      </w:r>
      <w:r w:rsidR="002A0862" w:rsidRPr="001235E8">
        <w:rPr>
          <w:sz w:val="28"/>
          <w:szCs w:val="28"/>
        </w:rPr>
        <w:t xml:space="preserve"> thí điểm</w:t>
      </w:r>
      <w:r w:rsidRPr="001235E8">
        <w:rPr>
          <w:sz w:val="28"/>
          <w:szCs w:val="28"/>
        </w:rPr>
        <w:t xml:space="preserve"> </w:t>
      </w:r>
      <w:r w:rsidR="005A520E" w:rsidRPr="001235E8">
        <w:rPr>
          <w:sz w:val="28"/>
          <w:szCs w:val="28"/>
          <w:lang w:val="vi-VN"/>
        </w:rPr>
        <w:t>nhằm</w:t>
      </w:r>
      <w:r w:rsidRPr="001235E8">
        <w:rPr>
          <w:sz w:val="28"/>
          <w:szCs w:val="28"/>
        </w:rPr>
        <w:t xml:space="preserve"> phát triển </w:t>
      </w:r>
      <w:r w:rsidR="005A520E" w:rsidRPr="001235E8">
        <w:rPr>
          <w:sz w:val="28"/>
          <w:szCs w:val="28"/>
          <w:lang w:val="vi-VN"/>
        </w:rPr>
        <w:t xml:space="preserve">các </w:t>
      </w:r>
      <w:r w:rsidRPr="001235E8">
        <w:rPr>
          <w:sz w:val="28"/>
          <w:szCs w:val="28"/>
        </w:rPr>
        <w:t>mô hình nông nghiệp sinh thái, nông nghiệp ứng dụng công nghệ cao, nông nghiệp đô thị</w:t>
      </w:r>
      <w:r w:rsidR="005A520E" w:rsidRPr="001235E8">
        <w:rPr>
          <w:sz w:val="28"/>
          <w:szCs w:val="28"/>
        </w:rPr>
        <w:t xml:space="preserve"> trên địa bàn Thành phố Hà </w:t>
      </w:r>
      <w:r w:rsidR="005A520E" w:rsidRPr="001235E8">
        <w:rPr>
          <w:sz w:val="28"/>
          <w:szCs w:val="28"/>
          <w:lang w:val="vi-VN"/>
        </w:rPr>
        <w:t>Nội</w:t>
      </w:r>
      <w:r w:rsidR="002A0862" w:rsidRPr="001235E8">
        <w:rPr>
          <w:sz w:val="28"/>
          <w:szCs w:val="28"/>
        </w:rPr>
        <w:t xml:space="preserve"> </w:t>
      </w:r>
      <w:r w:rsidR="0015110A" w:rsidRPr="001235E8">
        <w:rPr>
          <w:sz w:val="28"/>
          <w:szCs w:val="28"/>
        </w:rPr>
        <w:t xml:space="preserve">nhằm triển khai quy định tại điểm c khoản 3, khoản 4 Điều 9 của Luật Thủ đô số </w:t>
      </w:r>
      <w:r w:rsidR="00666CEF">
        <w:rPr>
          <w:sz w:val="28"/>
          <w:szCs w:val="28"/>
        </w:rPr>
        <w:t>02</w:t>
      </w:r>
      <w:r w:rsidR="0015110A" w:rsidRPr="001235E8">
        <w:rPr>
          <w:sz w:val="28"/>
          <w:szCs w:val="28"/>
        </w:rPr>
        <w:t>/2026/QH16.</w:t>
      </w:r>
    </w:p>
    <w:p w:rsidR="00282446" w:rsidRPr="001235E8" w:rsidRDefault="00282446" w:rsidP="00972FFE">
      <w:pPr>
        <w:spacing w:before="80"/>
        <w:ind w:firstLine="567"/>
        <w:jc w:val="both"/>
        <w:rPr>
          <w:sz w:val="28"/>
          <w:szCs w:val="28"/>
          <w:lang w:val="vi-VN"/>
        </w:rPr>
      </w:pPr>
      <w:r w:rsidRPr="001235E8">
        <w:rPr>
          <w:sz w:val="28"/>
          <w:szCs w:val="28"/>
          <w:lang w:val="vi-VN"/>
        </w:rPr>
        <w:t>2</w:t>
      </w:r>
      <w:r w:rsidR="005B4D3A" w:rsidRPr="001235E8">
        <w:rPr>
          <w:sz w:val="28"/>
          <w:szCs w:val="28"/>
          <w:lang w:val="vi-VN"/>
        </w:rPr>
        <w:t xml:space="preserve">. </w:t>
      </w:r>
      <w:r w:rsidRPr="001235E8">
        <w:rPr>
          <w:sz w:val="28"/>
          <w:szCs w:val="28"/>
          <w:lang w:val="vi-VN"/>
        </w:rPr>
        <w:t>Ủy ban nhân dâ</w:t>
      </w:r>
      <w:r w:rsidR="002A0862" w:rsidRPr="001235E8">
        <w:rPr>
          <w:sz w:val="28"/>
          <w:szCs w:val="28"/>
          <w:lang w:val="vi-VN"/>
        </w:rPr>
        <w:t>n Thành phố quyết định danh mục các mô hình thực hiện thí điểm, tối đa không quá 10 mô hình</w:t>
      </w:r>
    </w:p>
    <w:p w:rsidR="005B344D" w:rsidRPr="001235E8" w:rsidRDefault="005B4D3A" w:rsidP="00972FFE">
      <w:pPr>
        <w:spacing w:before="80"/>
        <w:ind w:firstLine="567"/>
        <w:rPr>
          <w:sz w:val="28"/>
          <w:szCs w:val="28"/>
          <w:lang w:val="vi-VN"/>
        </w:rPr>
      </w:pPr>
      <w:r w:rsidRPr="001235E8">
        <w:rPr>
          <w:b/>
          <w:bCs/>
          <w:sz w:val="28"/>
          <w:szCs w:val="28"/>
          <w:lang w:val="vi-VN"/>
        </w:rPr>
        <w:t>Điều 2. Đối tượng áp dụng</w:t>
      </w:r>
    </w:p>
    <w:p w:rsidR="005B344D" w:rsidRPr="001235E8" w:rsidRDefault="005B4D3A" w:rsidP="00972FFE">
      <w:pPr>
        <w:spacing w:before="80"/>
        <w:ind w:firstLine="567"/>
        <w:jc w:val="both"/>
        <w:rPr>
          <w:sz w:val="28"/>
          <w:szCs w:val="28"/>
          <w:lang w:val="vi-VN"/>
        </w:rPr>
      </w:pPr>
      <w:r w:rsidRPr="001235E8">
        <w:rPr>
          <w:sz w:val="28"/>
          <w:szCs w:val="28"/>
          <w:lang w:val="vi-VN"/>
        </w:rPr>
        <w:t>1. Doanh nghiệp, hợp tác xã, liên hiệp hợp tác xã, tổ hợp tác (gọi chung là tổ chức); hộ gia đình, cá nhân, (gọi chung là cá nhân) trực tiếp tham gia hoạt động sản xuất, dịch vụ nông nghiệp trên địa bàn Thành phố.</w:t>
      </w:r>
    </w:p>
    <w:p w:rsidR="005B344D" w:rsidRPr="001235E8" w:rsidRDefault="005B4D3A" w:rsidP="00972FFE">
      <w:pPr>
        <w:spacing w:before="120"/>
        <w:ind w:firstLine="567"/>
        <w:jc w:val="both"/>
        <w:rPr>
          <w:sz w:val="28"/>
          <w:szCs w:val="28"/>
          <w:lang w:val="vi-VN"/>
        </w:rPr>
      </w:pPr>
      <w:r w:rsidRPr="001235E8">
        <w:rPr>
          <w:sz w:val="28"/>
          <w:szCs w:val="28"/>
          <w:lang w:val="vi-VN"/>
        </w:rPr>
        <w:lastRenderedPageBreak/>
        <w:t>2. Các cơ quan, tổ chức, cá nhân có liên quan trong việc tổ chức thực hiện, quản lý, giám sát</w:t>
      </w:r>
      <w:r w:rsidR="006826BD" w:rsidRPr="001235E8">
        <w:rPr>
          <w:sz w:val="28"/>
          <w:szCs w:val="28"/>
          <w:lang w:val="vi-VN"/>
        </w:rPr>
        <w:t xml:space="preserve"> mô hình</w:t>
      </w:r>
      <w:r w:rsidRPr="001235E8">
        <w:rPr>
          <w:sz w:val="28"/>
          <w:szCs w:val="28"/>
          <w:lang w:val="vi-VN"/>
        </w:rPr>
        <w:t xml:space="preserve"> thí điểm.</w:t>
      </w:r>
    </w:p>
    <w:p w:rsidR="005B344D" w:rsidRPr="001235E8" w:rsidRDefault="005B4D3A" w:rsidP="00972FFE">
      <w:pPr>
        <w:spacing w:before="120"/>
        <w:ind w:firstLine="567"/>
        <w:jc w:val="both"/>
        <w:rPr>
          <w:b/>
          <w:bCs/>
          <w:sz w:val="28"/>
          <w:szCs w:val="28"/>
          <w:lang w:val="vi-VN"/>
        </w:rPr>
      </w:pPr>
      <w:r w:rsidRPr="001235E8">
        <w:rPr>
          <w:b/>
          <w:bCs/>
          <w:sz w:val="28"/>
          <w:szCs w:val="28"/>
          <w:lang w:val="vi-VN"/>
        </w:rPr>
        <w:t>Điều 3. Giải thích từ ngữ</w:t>
      </w:r>
    </w:p>
    <w:p w:rsidR="005B344D" w:rsidRPr="001235E8" w:rsidRDefault="005B4D3A" w:rsidP="00972FFE">
      <w:pPr>
        <w:spacing w:before="120"/>
        <w:ind w:firstLine="567"/>
        <w:jc w:val="both"/>
        <w:rPr>
          <w:bCs/>
          <w:sz w:val="28"/>
          <w:szCs w:val="28"/>
          <w:lang w:val="vi-VN"/>
        </w:rPr>
      </w:pPr>
      <w:r w:rsidRPr="001235E8">
        <w:rPr>
          <w:bCs/>
          <w:sz w:val="28"/>
          <w:szCs w:val="28"/>
          <w:lang w:val="vi-VN"/>
        </w:rPr>
        <w:t>Trong Nghị quyết này, các từ ngữ dưới đây được hiểu như sau:</w:t>
      </w:r>
    </w:p>
    <w:p w:rsidR="005B344D" w:rsidRPr="001235E8" w:rsidRDefault="005B4D3A" w:rsidP="00972FFE">
      <w:pPr>
        <w:spacing w:before="120"/>
        <w:ind w:firstLine="567"/>
        <w:jc w:val="both"/>
        <w:rPr>
          <w:bCs/>
          <w:sz w:val="28"/>
          <w:szCs w:val="28"/>
          <w:lang w:val="vi-VN"/>
        </w:rPr>
      </w:pPr>
      <w:r w:rsidRPr="001235E8">
        <w:rPr>
          <w:bCs/>
          <w:sz w:val="28"/>
          <w:szCs w:val="28"/>
          <w:lang w:val="vi-VN"/>
        </w:rPr>
        <w:t xml:space="preserve">1. Nông nghiệp sinh thái là phương thức sản xuất nông nghiệp trong đó áp dụng những tiến bộ khoa học và công nghệ, các biện pháp canh tác tiên tiến để sản xuất nông sản với quy mô hàng hóa, năng suất, chất lượng cao, bảo đảm cung cấp nông sản an toàn cho tiêu dùng, đồng thời bảo vệ môi trường (giảm phát thải, giảm gây ô nhiễm môi trường) và gia tăng hiệu quả kinh tế cho người sản xuất. </w:t>
      </w:r>
    </w:p>
    <w:p w:rsidR="00897FCE" w:rsidRPr="001235E8" w:rsidRDefault="00897FCE" w:rsidP="00972FFE">
      <w:pPr>
        <w:spacing w:before="120"/>
        <w:ind w:firstLine="567"/>
        <w:jc w:val="both"/>
        <w:rPr>
          <w:bCs/>
          <w:sz w:val="28"/>
          <w:szCs w:val="28"/>
          <w:lang w:val="vi-VN"/>
        </w:rPr>
      </w:pPr>
      <w:r w:rsidRPr="001235E8">
        <w:rPr>
          <w:bCs/>
          <w:sz w:val="28"/>
          <w:szCs w:val="28"/>
          <w:lang w:val="vi-VN"/>
        </w:rPr>
        <w:t>2. Nông nghiệp ứng dụng công nghệ cao là những diện tích sản xuất nông nghiệp mà trong đó công nghệ ứng dụng trong sản xuất nông nghiệp thuộc Danh mục công nghệ được cơ quan có thẩm quyền quy định.</w:t>
      </w:r>
    </w:p>
    <w:p w:rsidR="002A0862" w:rsidRPr="00BF5DD2" w:rsidRDefault="00897FCE" w:rsidP="00972FFE">
      <w:pPr>
        <w:spacing w:before="120"/>
        <w:ind w:firstLine="567"/>
        <w:jc w:val="both"/>
        <w:rPr>
          <w:bCs/>
          <w:spacing w:val="-2"/>
          <w:sz w:val="28"/>
          <w:szCs w:val="28"/>
          <w:lang w:val="vi-VN"/>
        </w:rPr>
      </w:pPr>
      <w:r w:rsidRPr="00BF5DD2">
        <w:rPr>
          <w:spacing w:val="-2"/>
          <w:sz w:val="28"/>
          <w:szCs w:val="28"/>
          <w:lang w:val="vi-VN"/>
        </w:rPr>
        <w:t xml:space="preserve">3. </w:t>
      </w:r>
      <w:r w:rsidR="00F871BF" w:rsidRPr="00BF5DD2">
        <w:rPr>
          <w:spacing w:val="-2"/>
          <w:sz w:val="28"/>
          <w:szCs w:val="28"/>
          <w:lang w:val="vi-VN"/>
        </w:rPr>
        <w:t>Nông nghiệp đô thị là quá trình sản xuất</w:t>
      </w:r>
      <w:r w:rsidR="002A0862" w:rsidRPr="00BF5DD2">
        <w:rPr>
          <w:spacing w:val="-2"/>
          <w:sz w:val="28"/>
          <w:szCs w:val="28"/>
          <w:lang w:val="vi-VN"/>
        </w:rPr>
        <w:t xml:space="preserve"> sản phẩm nông nghiệp ở đô thị và vùng ven đô thị nhằm mục đích cung cấp nông sản </w:t>
      </w:r>
      <w:r w:rsidR="0015110A" w:rsidRPr="00BF5DD2">
        <w:rPr>
          <w:spacing w:val="-2"/>
          <w:sz w:val="28"/>
          <w:szCs w:val="28"/>
        </w:rPr>
        <w:t xml:space="preserve">đồng thời </w:t>
      </w:r>
      <w:r w:rsidR="0015110A" w:rsidRPr="00BF5DD2">
        <w:rPr>
          <w:bCs/>
          <w:spacing w:val="-2"/>
          <w:sz w:val="28"/>
          <w:szCs w:val="28"/>
          <w:lang w:val="vi-VN"/>
        </w:rPr>
        <w:t>tạo không gian xanh</w:t>
      </w:r>
      <w:r w:rsidR="0015110A" w:rsidRPr="00BF5DD2">
        <w:rPr>
          <w:bCs/>
          <w:spacing w:val="-2"/>
          <w:sz w:val="28"/>
          <w:szCs w:val="28"/>
        </w:rPr>
        <w:t xml:space="preserve">, cung cấp </w:t>
      </w:r>
      <w:r w:rsidR="0015110A" w:rsidRPr="00BF5DD2">
        <w:rPr>
          <w:spacing w:val="-2"/>
          <w:sz w:val="28"/>
          <w:szCs w:val="28"/>
        </w:rPr>
        <w:t>các</w:t>
      </w:r>
      <w:r w:rsidR="0015110A" w:rsidRPr="00BF5DD2">
        <w:rPr>
          <w:bCs/>
          <w:spacing w:val="-2"/>
          <w:sz w:val="28"/>
          <w:szCs w:val="28"/>
          <w:lang w:val="vi-VN"/>
        </w:rPr>
        <w:t xml:space="preserve"> dịch vụ môi trường, cảnh quan, du lịch sinh thái cho người dân.</w:t>
      </w:r>
    </w:p>
    <w:p w:rsidR="005B344D" w:rsidRPr="001235E8" w:rsidRDefault="005B4D3A" w:rsidP="00972FFE">
      <w:pPr>
        <w:spacing w:before="120"/>
        <w:ind w:firstLine="567"/>
        <w:jc w:val="both"/>
        <w:rPr>
          <w:sz w:val="28"/>
          <w:szCs w:val="28"/>
          <w:lang w:val="vi-VN"/>
        </w:rPr>
      </w:pPr>
      <w:r w:rsidRPr="001235E8">
        <w:rPr>
          <w:b/>
          <w:bCs/>
          <w:sz w:val="28"/>
          <w:szCs w:val="28"/>
          <w:lang w:val="vi-VN"/>
        </w:rPr>
        <w:t>Điều 4. Mục tiêu và nguyên tắc thực hiện thí điểm</w:t>
      </w:r>
    </w:p>
    <w:p w:rsidR="005B344D" w:rsidRPr="001235E8" w:rsidRDefault="005B4D3A" w:rsidP="00972FFE">
      <w:pPr>
        <w:spacing w:before="120"/>
        <w:ind w:firstLine="567"/>
        <w:jc w:val="both"/>
        <w:rPr>
          <w:sz w:val="28"/>
          <w:szCs w:val="28"/>
          <w:lang w:val="vi-VN"/>
        </w:rPr>
      </w:pPr>
      <w:r w:rsidRPr="001235E8">
        <w:rPr>
          <w:sz w:val="28"/>
          <w:szCs w:val="28"/>
          <w:lang w:val="vi-VN"/>
        </w:rPr>
        <w:t>1. Mục tiêu</w:t>
      </w:r>
    </w:p>
    <w:p w:rsidR="005B344D" w:rsidRPr="001235E8" w:rsidRDefault="005B4D3A" w:rsidP="00972FFE">
      <w:pPr>
        <w:spacing w:before="120"/>
        <w:ind w:firstLine="567"/>
        <w:jc w:val="both"/>
        <w:rPr>
          <w:sz w:val="28"/>
          <w:szCs w:val="28"/>
          <w:lang w:val="vi-VN"/>
        </w:rPr>
      </w:pPr>
      <w:r w:rsidRPr="001235E8">
        <w:rPr>
          <w:sz w:val="28"/>
          <w:szCs w:val="28"/>
          <w:lang w:val="vi-VN"/>
        </w:rPr>
        <w:t>Thí điểm áp dụng cơ chế, chính sách mới, khác với luật, nghị quyết của Quốc hội hoặc chưa được pháp luật quy định nhằm phát triển mô hình nông nghiệp sinh thái, ứng dụng công nghệ cao và nông nghiệp đô thị trên địa bàn Thành phố.</w:t>
      </w:r>
    </w:p>
    <w:p w:rsidR="005B344D" w:rsidRPr="001235E8" w:rsidRDefault="005B4D3A" w:rsidP="00972FFE">
      <w:pPr>
        <w:spacing w:before="120"/>
        <w:ind w:firstLine="567"/>
        <w:jc w:val="both"/>
        <w:rPr>
          <w:sz w:val="28"/>
          <w:szCs w:val="28"/>
          <w:lang w:val="vi-VN"/>
        </w:rPr>
      </w:pPr>
      <w:r w:rsidRPr="001235E8">
        <w:rPr>
          <w:sz w:val="28"/>
          <w:szCs w:val="28"/>
          <w:lang w:val="vi-VN"/>
        </w:rPr>
        <w:t xml:space="preserve">2. Nguyên tắc thực hiện thí điểm </w:t>
      </w:r>
    </w:p>
    <w:p w:rsidR="005B344D" w:rsidRPr="001235E8" w:rsidRDefault="005B4D3A" w:rsidP="00972FFE">
      <w:pPr>
        <w:spacing w:before="120"/>
        <w:ind w:firstLine="567"/>
        <w:jc w:val="both"/>
        <w:rPr>
          <w:sz w:val="28"/>
          <w:szCs w:val="28"/>
          <w:lang w:val="vi-VN"/>
        </w:rPr>
      </w:pPr>
      <w:r w:rsidRPr="001235E8">
        <w:rPr>
          <w:sz w:val="28"/>
          <w:szCs w:val="28"/>
          <w:lang w:val="vi-VN"/>
        </w:rPr>
        <w:t>a) Đảm bảo phù hợp với Hiến pháp, không trái điều ước quốc tế; không hạn chế quyền con người, quyền công dân; bảo đảm môi trường đầu tư kinh doanh bình đẳng, cạnh tranh lành mạnh, công khai minh bạch; không phương hại quốc phòng, an ninh, đối ngoại; bảo vệ sức khỏe cộng đồng, đạo đức xã hội, thuần phong mỹ tục, đại đoàn kết dân tộc và chính sách tôn giáo của Nhà nước.</w:t>
      </w:r>
    </w:p>
    <w:p w:rsidR="005B344D" w:rsidRPr="001235E8" w:rsidRDefault="005B4D3A" w:rsidP="00972FFE">
      <w:pPr>
        <w:spacing w:before="120"/>
        <w:ind w:firstLine="567"/>
        <w:jc w:val="both"/>
        <w:rPr>
          <w:sz w:val="28"/>
          <w:szCs w:val="28"/>
          <w:lang w:val="vi-VN"/>
        </w:rPr>
      </w:pPr>
      <w:r w:rsidRPr="001235E8">
        <w:rPr>
          <w:sz w:val="28"/>
          <w:szCs w:val="28"/>
          <w:lang w:val="vi-VN"/>
        </w:rPr>
        <w:t xml:space="preserve">b) Các cá nhân, tổ chức tự nguyện tham gia mô hình và cam kết đảm </w:t>
      </w:r>
      <w:r w:rsidR="005722BD" w:rsidRPr="001235E8">
        <w:rPr>
          <w:sz w:val="28"/>
          <w:szCs w:val="28"/>
          <w:lang w:val="vi-VN"/>
        </w:rPr>
        <w:t>bả</w:t>
      </w:r>
      <w:r w:rsidRPr="001235E8">
        <w:rPr>
          <w:sz w:val="28"/>
          <w:szCs w:val="28"/>
          <w:lang w:val="vi-VN"/>
        </w:rPr>
        <w:t xml:space="preserve">o thực hiện đầy đủ trách nhiệm khi tham gia mô hình cũng như tự </w:t>
      </w:r>
      <w:r w:rsidR="005722BD" w:rsidRPr="001235E8">
        <w:rPr>
          <w:sz w:val="28"/>
          <w:szCs w:val="28"/>
          <w:lang w:val="vi-VN"/>
        </w:rPr>
        <w:t>nguyệ</w:t>
      </w:r>
      <w:r w:rsidRPr="001235E8">
        <w:rPr>
          <w:sz w:val="28"/>
          <w:szCs w:val="28"/>
          <w:lang w:val="vi-VN"/>
        </w:rPr>
        <w:t>n chấp nhận các rủi ro khi tham gia mô hình.</w:t>
      </w:r>
    </w:p>
    <w:p w:rsidR="005B344D" w:rsidRPr="001235E8" w:rsidRDefault="005B4D3A" w:rsidP="00972FFE">
      <w:pPr>
        <w:spacing w:before="120"/>
        <w:ind w:firstLine="567"/>
        <w:jc w:val="both"/>
        <w:rPr>
          <w:sz w:val="28"/>
          <w:szCs w:val="28"/>
          <w:lang w:val="vi-VN"/>
        </w:rPr>
      </w:pPr>
      <w:r w:rsidRPr="001235E8">
        <w:rPr>
          <w:sz w:val="28"/>
          <w:szCs w:val="28"/>
          <w:lang w:val="vi-VN"/>
        </w:rPr>
        <w:t xml:space="preserve">c) Một mô hình thí điểm có thể áp dụng một hoặc đồng thời nhiều </w:t>
      </w:r>
      <w:r w:rsidR="00034004" w:rsidRPr="001235E8">
        <w:rPr>
          <w:sz w:val="28"/>
          <w:szCs w:val="28"/>
        </w:rPr>
        <w:t>hình</w:t>
      </w:r>
      <w:r w:rsidRPr="001235E8">
        <w:rPr>
          <w:sz w:val="28"/>
          <w:szCs w:val="28"/>
          <w:lang w:val="vi-VN"/>
        </w:rPr>
        <w:t xml:space="preserve"> thức </w:t>
      </w:r>
      <w:r w:rsidR="00034004" w:rsidRPr="001235E8">
        <w:rPr>
          <w:sz w:val="28"/>
          <w:szCs w:val="28"/>
        </w:rPr>
        <w:t xml:space="preserve">tổ chức </w:t>
      </w:r>
      <w:r w:rsidRPr="001235E8">
        <w:rPr>
          <w:sz w:val="28"/>
          <w:szCs w:val="28"/>
          <w:lang w:val="vi-VN"/>
        </w:rPr>
        <w:t>sản xuất được quy định tại Điều 3 Nghị quyết này</w:t>
      </w:r>
    </w:p>
    <w:p w:rsidR="005B344D" w:rsidRPr="001235E8" w:rsidRDefault="005B4D3A" w:rsidP="00972FFE">
      <w:pPr>
        <w:spacing w:before="120"/>
        <w:ind w:firstLine="567"/>
        <w:rPr>
          <w:sz w:val="28"/>
          <w:szCs w:val="28"/>
          <w:lang w:val="vi-VN"/>
        </w:rPr>
      </w:pPr>
      <w:r w:rsidRPr="001235E8">
        <w:rPr>
          <w:b/>
          <w:bCs/>
          <w:sz w:val="28"/>
          <w:szCs w:val="28"/>
          <w:lang w:val="vi-VN"/>
        </w:rPr>
        <w:t xml:space="preserve">Điều 5. </w:t>
      </w:r>
      <w:r w:rsidR="004C0D6E" w:rsidRPr="001235E8">
        <w:rPr>
          <w:b/>
          <w:bCs/>
          <w:sz w:val="28"/>
          <w:szCs w:val="28"/>
          <w:lang w:val="vi-VN"/>
        </w:rPr>
        <w:t>Q</w:t>
      </w:r>
      <w:r w:rsidRPr="001235E8">
        <w:rPr>
          <w:b/>
          <w:bCs/>
          <w:sz w:val="28"/>
          <w:szCs w:val="28"/>
          <w:lang w:val="vi-VN"/>
        </w:rPr>
        <w:t>uy mô, thời gian, không gian, địa bàn thí điểm</w:t>
      </w:r>
    </w:p>
    <w:p w:rsidR="005B344D" w:rsidRPr="001235E8" w:rsidRDefault="004C0D6E" w:rsidP="00972FFE">
      <w:pPr>
        <w:spacing w:before="120"/>
        <w:ind w:firstLine="567"/>
        <w:jc w:val="both"/>
        <w:rPr>
          <w:sz w:val="28"/>
          <w:szCs w:val="28"/>
          <w:lang w:val="vi-VN"/>
        </w:rPr>
      </w:pPr>
      <w:r w:rsidRPr="001235E8">
        <w:rPr>
          <w:sz w:val="28"/>
          <w:szCs w:val="28"/>
          <w:lang w:val="vi-VN"/>
        </w:rPr>
        <w:t>1</w:t>
      </w:r>
      <w:r w:rsidR="005B4D3A" w:rsidRPr="001235E8">
        <w:rPr>
          <w:sz w:val="28"/>
          <w:szCs w:val="28"/>
          <w:lang w:val="vi-VN"/>
        </w:rPr>
        <w:t>. Quy mô mỗi mô hình: Tối thiểu 50 ha/01 mô hình.</w:t>
      </w:r>
    </w:p>
    <w:p w:rsidR="005B344D" w:rsidRPr="001235E8" w:rsidRDefault="004C0D6E" w:rsidP="00972FFE">
      <w:pPr>
        <w:spacing w:before="120"/>
        <w:ind w:firstLine="567"/>
        <w:jc w:val="both"/>
        <w:rPr>
          <w:sz w:val="28"/>
          <w:szCs w:val="28"/>
          <w:lang w:val="vi-VN"/>
        </w:rPr>
      </w:pPr>
      <w:r w:rsidRPr="001235E8">
        <w:rPr>
          <w:sz w:val="28"/>
          <w:szCs w:val="28"/>
          <w:lang w:val="vi-VN"/>
        </w:rPr>
        <w:t>2</w:t>
      </w:r>
      <w:r w:rsidR="008002F3" w:rsidRPr="001235E8">
        <w:rPr>
          <w:sz w:val="28"/>
          <w:szCs w:val="28"/>
          <w:lang w:val="vi-VN"/>
        </w:rPr>
        <w:t>. Thời gian thí điểm: Đ</w:t>
      </w:r>
      <w:r w:rsidR="005B4D3A" w:rsidRPr="001235E8">
        <w:rPr>
          <w:sz w:val="28"/>
          <w:szCs w:val="28"/>
          <w:shd w:val="clear" w:color="auto" w:fill="FFFFFF"/>
          <w:lang w:val="vi-VN"/>
        </w:rPr>
        <w:t xml:space="preserve">ến </w:t>
      </w:r>
      <w:r w:rsidR="008002F3" w:rsidRPr="001235E8">
        <w:rPr>
          <w:sz w:val="28"/>
          <w:szCs w:val="28"/>
          <w:shd w:val="clear" w:color="auto" w:fill="FFFFFF"/>
          <w:lang w:val="vi-VN"/>
        </w:rPr>
        <w:t xml:space="preserve">năm </w:t>
      </w:r>
      <w:r w:rsidR="005B4D3A" w:rsidRPr="001235E8">
        <w:rPr>
          <w:sz w:val="28"/>
          <w:szCs w:val="28"/>
          <w:shd w:val="clear" w:color="auto" w:fill="FFFFFF"/>
          <w:lang w:val="vi-VN"/>
        </w:rPr>
        <w:t>2030 nhưng không quá 36 tháng/mô hình</w:t>
      </w:r>
      <w:r w:rsidR="005B4D3A" w:rsidRPr="001235E8">
        <w:rPr>
          <w:sz w:val="28"/>
          <w:szCs w:val="28"/>
          <w:lang w:val="vi-VN"/>
        </w:rPr>
        <w:t>, có thể gia hạn hoặc chấm dứt sớm theo quy định tại Điều 12 Nghị quyết này.</w:t>
      </w:r>
    </w:p>
    <w:p w:rsidR="005B344D" w:rsidRPr="001235E8" w:rsidRDefault="004C0D6E" w:rsidP="00972FFE">
      <w:pPr>
        <w:spacing w:before="120"/>
        <w:ind w:firstLine="567"/>
        <w:jc w:val="both"/>
        <w:rPr>
          <w:sz w:val="28"/>
          <w:szCs w:val="28"/>
          <w:lang w:val="vi-VN"/>
        </w:rPr>
      </w:pPr>
      <w:r w:rsidRPr="001235E8">
        <w:rPr>
          <w:sz w:val="28"/>
          <w:szCs w:val="28"/>
          <w:lang w:val="vi-VN"/>
        </w:rPr>
        <w:t>3</w:t>
      </w:r>
      <w:r w:rsidR="005B4D3A" w:rsidRPr="001235E8">
        <w:rPr>
          <w:sz w:val="28"/>
          <w:szCs w:val="28"/>
          <w:lang w:val="vi-VN"/>
        </w:rPr>
        <w:t xml:space="preserve">. Không gian, địa bàn thí điểm: </w:t>
      </w:r>
      <w:r w:rsidRPr="001235E8">
        <w:rPr>
          <w:sz w:val="28"/>
          <w:szCs w:val="28"/>
          <w:lang w:val="vi-VN"/>
        </w:rPr>
        <w:t>T</w:t>
      </w:r>
      <w:r w:rsidR="005B4D3A" w:rsidRPr="001235E8">
        <w:rPr>
          <w:sz w:val="28"/>
          <w:szCs w:val="28"/>
          <w:lang w:val="vi-VN"/>
        </w:rPr>
        <w:t>ại các Vùng sản xuất nông nghiệp tậ</w:t>
      </w:r>
      <w:r w:rsidR="008002F3" w:rsidRPr="001235E8">
        <w:rPr>
          <w:sz w:val="28"/>
          <w:szCs w:val="28"/>
          <w:lang w:val="vi-VN"/>
        </w:rPr>
        <w:t xml:space="preserve">p trung trên địa bàn Thành phố </w:t>
      </w:r>
      <w:r w:rsidR="005B4D3A" w:rsidRPr="001235E8">
        <w:rPr>
          <w:sz w:val="28"/>
          <w:szCs w:val="28"/>
          <w:lang w:val="vi-VN"/>
        </w:rPr>
        <w:t xml:space="preserve">được cấp có thẩm quyền phê duyệt danh mục </w:t>
      </w:r>
      <w:r w:rsidR="008002F3" w:rsidRPr="001235E8">
        <w:rPr>
          <w:sz w:val="28"/>
          <w:szCs w:val="28"/>
          <w:lang w:val="vi-VN"/>
        </w:rPr>
        <w:t xml:space="preserve">và </w:t>
      </w:r>
      <w:r w:rsidR="005B4D3A" w:rsidRPr="001235E8">
        <w:rPr>
          <w:sz w:val="28"/>
          <w:szCs w:val="28"/>
          <w:lang w:val="vi-VN"/>
        </w:rPr>
        <w:t>các diện tích đất</w:t>
      </w:r>
      <w:r w:rsidRPr="001235E8">
        <w:rPr>
          <w:sz w:val="28"/>
          <w:szCs w:val="28"/>
          <w:lang w:val="vi-VN"/>
        </w:rPr>
        <w:t xml:space="preserve"> </w:t>
      </w:r>
      <w:r w:rsidR="005B4D3A" w:rsidRPr="001235E8">
        <w:rPr>
          <w:sz w:val="28"/>
          <w:szCs w:val="28"/>
          <w:lang w:val="vi-VN"/>
        </w:rPr>
        <w:t>sản xuất nông nghiệp giáp ranh với Vùng sản xuất nông nghiệp tập trung.</w:t>
      </w:r>
    </w:p>
    <w:p w:rsidR="005B344D" w:rsidRPr="001235E8" w:rsidRDefault="005B4D3A" w:rsidP="00972FFE">
      <w:pPr>
        <w:spacing w:before="120"/>
        <w:jc w:val="center"/>
        <w:rPr>
          <w:b/>
          <w:bCs/>
          <w:sz w:val="28"/>
          <w:szCs w:val="28"/>
          <w:lang w:val="vi-VN"/>
        </w:rPr>
      </w:pPr>
      <w:r w:rsidRPr="001235E8">
        <w:rPr>
          <w:b/>
          <w:bCs/>
          <w:sz w:val="28"/>
          <w:szCs w:val="28"/>
          <w:lang w:val="vi-VN"/>
        </w:rPr>
        <w:lastRenderedPageBreak/>
        <w:t>Chương II</w:t>
      </w:r>
    </w:p>
    <w:p w:rsidR="005B344D" w:rsidRPr="001235E8" w:rsidRDefault="005B4D3A" w:rsidP="00972FFE">
      <w:pPr>
        <w:widowControl w:val="0"/>
        <w:jc w:val="center"/>
        <w:rPr>
          <w:b/>
          <w:bCs/>
          <w:sz w:val="28"/>
          <w:szCs w:val="28"/>
          <w:shd w:val="clear" w:color="auto" w:fill="FFFFFF"/>
          <w:lang w:val="vi-VN"/>
        </w:rPr>
      </w:pPr>
      <w:r w:rsidRPr="001235E8">
        <w:rPr>
          <w:b/>
          <w:bCs/>
          <w:sz w:val="28"/>
          <w:szCs w:val="28"/>
          <w:shd w:val="clear" w:color="auto" w:fill="FFFFFF"/>
          <w:lang w:val="vi-VN"/>
        </w:rPr>
        <w:t>QUY ĐỊNH CỤ THỂ</w:t>
      </w:r>
    </w:p>
    <w:p w:rsidR="005B344D" w:rsidRPr="001235E8" w:rsidRDefault="005B4D3A" w:rsidP="00972FFE">
      <w:pPr>
        <w:spacing w:before="120"/>
        <w:jc w:val="center"/>
        <w:rPr>
          <w:b/>
          <w:bCs/>
          <w:sz w:val="28"/>
          <w:szCs w:val="28"/>
          <w:lang w:val="vi-VN"/>
        </w:rPr>
      </w:pPr>
      <w:r w:rsidRPr="001235E8">
        <w:rPr>
          <w:b/>
          <w:bCs/>
          <w:sz w:val="28"/>
          <w:szCs w:val="28"/>
          <w:lang w:val="vi-VN"/>
        </w:rPr>
        <w:t xml:space="preserve">Mục 1 </w:t>
      </w:r>
    </w:p>
    <w:p w:rsidR="005B344D" w:rsidRPr="001235E8" w:rsidRDefault="005B4D3A" w:rsidP="00972FFE">
      <w:pPr>
        <w:jc w:val="center"/>
        <w:rPr>
          <w:b/>
          <w:bCs/>
          <w:szCs w:val="28"/>
          <w:lang w:val="vi-VN"/>
        </w:rPr>
      </w:pPr>
      <w:r w:rsidRPr="001235E8">
        <w:rPr>
          <w:b/>
          <w:bCs/>
          <w:szCs w:val="28"/>
          <w:lang w:val="vi-VN"/>
        </w:rPr>
        <w:t xml:space="preserve">CƠ CHẾ, CHÍNH SÁCH THÍ ĐIỂM </w:t>
      </w:r>
    </w:p>
    <w:p w:rsidR="005B344D" w:rsidRPr="001235E8" w:rsidRDefault="005B4D3A" w:rsidP="00972FFE">
      <w:pPr>
        <w:spacing w:before="120"/>
        <w:ind w:firstLine="567"/>
        <w:rPr>
          <w:sz w:val="28"/>
          <w:szCs w:val="28"/>
          <w:lang w:val="vi-VN"/>
        </w:rPr>
      </w:pPr>
      <w:r w:rsidRPr="001235E8">
        <w:rPr>
          <w:b/>
          <w:bCs/>
          <w:sz w:val="28"/>
          <w:szCs w:val="28"/>
          <w:lang w:val="vi-VN"/>
        </w:rPr>
        <w:t>Điều 6. Hỗ trợ hạ tầng dùng chung</w:t>
      </w:r>
    </w:p>
    <w:p w:rsidR="00034004" w:rsidRPr="001235E8" w:rsidRDefault="005B4D3A" w:rsidP="00972FFE">
      <w:pPr>
        <w:spacing w:before="120"/>
        <w:ind w:firstLine="567"/>
        <w:jc w:val="both"/>
        <w:rPr>
          <w:sz w:val="28"/>
          <w:szCs w:val="28"/>
          <w:lang w:val="vi-VN"/>
        </w:rPr>
      </w:pPr>
      <w:r w:rsidRPr="001235E8">
        <w:rPr>
          <w:sz w:val="28"/>
          <w:szCs w:val="28"/>
          <w:lang w:val="vi-VN"/>
        </w:rPr>
        <w:t xml:space="preserve">1. </w:t>
      </w:r>
      <w:r w:rsidR="00DA03D6" w:rsidRPr="001235E8">
        <w:rPr>
          <w:sz w:val="28"/>
          <w:szCs w:val="28"/>
          <w:lang w:val="vi-VN"/>
        </w:rPr>
        <w:t>Ngân sách Thành phố đầu tư 100% kinh phí thực hiện dự án đầu tư xây dựng hạ tầng giao thông nội đồng, thủy lợi nội đồng, hạ tầng số phục vụ các mô hình</w:t>
      </w:r>
      <w:r w:rsidR="00034004" w:rsidRPr="001235E8">
        <w:rPr>
          <w:sz w:val="28"/>
          <w:szCs w:val="28"/>
          <w:lang w:val="vi-VN"/>
        </w:rPr>
        <w:t xml:space="preserve"> thí điểm.</w:t>
      </w:r>
    </w:p>
    <w:p w:rsidR="00DA03D6" w:rsidRPr="001235E8" w:rsidRDefault="008B38AD" w:rsidP="00972FFE">
      <w:pPr>
        <w:spacing w:before="120"/>
        <w:ind w:firstLine="567"/>
        <w:jc w:val="both"/>
        <w:rPr>
          <w:sz w:val="28"/>
          <w:szCs w:val="28"/>
          <w:lang w:val="vi-VN"/>
        </w:rPr>
      </w:pPr>
      <w:r w:rsidRPr="001235E8">
        <w:rPr>
          <w:sz w:val="28"/>
          <w:szCs w:val="28"/>
        </w:rPr>
        <w:t xml:space="preserve">UBND cấp xã là chủ đẩu tư dự án. Các hạng mục đầu tư, nội dung đầu tư được thực hiện phù hợp với định hướng, mục tiêu hoạt động sản xuất của mô hình. </w:t>
      </w:r>
      <w:r w:rsidR="00DA03D6" w:rsidRPr="001235E8">
        <w:rPr>
          <w:sz w:val="28"/>
          <w:szCs w:val="28"/>
          <w:lang w:val="vi-VN"/>
        </w:rPr>
        <w:t>Dự án đã được thẩm định phê duyệt theo đúng quy trình, quy định.</w:t>
      </w:r>
    </w:p>
    <w:p w:rsidR="005B344D" w:rsidRPr="001235E8" w:rsidRDefault="005B4D3A" w:rsidP="00972FFE">
      <w:pPr>
        <w:spacing w:before="120"/>
        <w:ind w:firstLine="567"/>
        <w:jc w:val="both"/>
        <w:rPr>
          <w:sz w:val="28"/>
          <w:szCs w:val="28"/>
          <w:lang w:val="vi-VN"/>
        </w:rPr>
      </w:pPr>
      <w:r w:rsidRPr="001235E8">
        <w:rPr>
          <w:sz w:val="28"/>
          <w:szCs w:val="28"/>
          <w:lang w:val="vi-VN"/>
        </w:rPr>
        <w:t xml:space="preserve">2. Trình tự, thủ tục thực hiện áp dụng cơ chế đặc thù trong tổ chức thực hiện dự án đầu tư xây dựng quy mô nhỏ, kỹ thuật không phức tạp theo quy định của Chính phủ về </w:t>
      </w:r>
      <w:r w:rsidRPr="001235E8">
        <w:rPr>
          <w:iCs/>
          <w:sz w:val="28"/>
          <w:szCs w:val="28"/>
          <w:shd w:val="clear" w:color="auto" w:fill="FFFFFF"/>
          <w:lang w:val="vi-VN"/>
        </w:rPr>
        <w:t>cơ chế quản lý, tổ chức thực hiện các chương trình mục tiêu quốc gia</w:t>
      </w:r>
      <w:r w:rsidRPr="001235E8">
        <w:rPr>
          <w:sz w:val="28"/>
          <w:szCs w:val="28"/>
          <w:lang w:val="vi-VN"/>
        </w:rPr>
        <w:t xml:space="preserve"> (áp dụng quy trình đơn giản, thủ tục rút gọn trong lập, thẩm định, quyết định dự án; lựa chọn nhà thầu thi công; quản lý thi công, bảo trì công trình với sự tham gia của cộng đồng).</w:t>
      </w:r>
    </w:p>
    <w:p w:rsidR="005B344D" w:rsidRPr="001235E8" w:rsidRDefault="005B4D3A" w:rsidP="00972FFE">
      <w:pPr>
        <w:spacing w:before="120"/>
        <w:ind w:firstLine="567"/>
        <w:jc w:val="both"/>
        <w:rPr>
          <w:sz w:val="28"/>
          <w:szCs w:val="28"/>
          <w:lang w:val="vi-VN"/>
        </w:rPr>
      </w:pPr>
      <w:r w:rsidRPr="001235E8">
        <w:rPr>
          <w:sz w:val="28"/>
          <w:szCs w:val="28"/>
          <w:lang w:val="vi-VN"/>
        </w:rPr>
        <w:t>3. Nguồn kinh phí: Ngân sách cấp Thành phố cấp cho ngân sách cấp xã thực hiện dự án đầu tư theo quy định.</w:t>
      </w:r>
    </w:p>
    <w:p w:rsidR="005B344D" w:rsidRPr="001235E8" w:rsidRDefault="005B4D3A" w:rsidP="00972FFE">
      <w:pPr>
        <w:spacing w:before="120"/>
        <w:ind w:firstLine="567"/>
        <w:jc w:val="both"/>
        <w:rPr>
          <w:b/>
          <w:bCs/>
          <w:sz w:val="28"/>
          <w:szCs w:val="28"/>
          <w:lang w:val="vi-VN"/>
        </w:rPr>
      </w:pPr>
      <w:r w:rsidRPr="001235E8">
        <w:rPr>
          <w:b/>
          <w:bCs/>
          <w:sz w:val="28"/>
          <w:szCs w:val="28"/>
          <w:lang w:val="vi-VN"/>
        </w:rPr>
        <w:t>Điều 7. Hỗ trợ tổ chức, cá nhân trực tiếp tham gia sản xuất theo mô hình thí điểm</w:t>
      </w:r>
    </w:p>
    <w:p w:rsidR="005B344D" w:rsidRPr="001235E8" w:rsidRDefault="005B4D3A" w:rsidP="00972FFE">
      <w:pPr>
        <w:spacing w:before="120"/>
        <w:ind w:firstLine="567"/>
        <w:jc w:val="both"/>
        <w:rPr>
          <w:sz w:val="28"/>
          <w:szCs w:val="28"/>
          <w:lang w:val="vi-VN"/>
        </w:rPr>
      </w:pPr>
      <w:r w:rsidRPr="001235E8">
        <w:rPr>
          <w:sz w:val="28"/>
          <w:szCs w:val="28"/>
          <w:lang w:val="vi-VN"/>
        </w:rPr>
        <w:t>1. Đối tượng áp dụng: Các tổ chức, cá nhân trực tiếp sản xuất nông nghiệp có đăng ký tham gia mô hình thí điểm.</w:t>
      </w:r>
    </w:p>
    <w:p w:rsidR="005B344D" w:rsidRPr="001235E8" w:rsidRDefault="005B4D3A" w:rsidP="00972FFE">
      <w:pPr>
        <w:spacing w:before="120"/>
        <w:ind w:firstLine="567"/>
        <w:jc w:val="both"/>
        <w:rPr>
          <w:sz w:val="28"/>
          <w:szCs w:val="28"/>
          <w:lang w:val="vi-VN"/>
        </w:rPr>
      </w:pPr>
      <w:r w:rsidRPr="001235E8">
        <w:rPr>
          <w:sz w:val="28"/>
          <w:szCs w:val="28"/>
          <w:lang w:val="vi-VN"/>
        </w:rPr>
        <w:t xml:space="preserve">2. Nội dung và mức hỗ trợ: </w:t>
      </w:r>
    </w:p>
    <w:p w:rsidR="008B38AD" w:rsidRPr="001235E8" w:rsidRDefault="005B4D3A" w:rsidP="00972FFE">
      <w:pPr>
        <w:spacing w:before="120"/>
        <w:ind w:firstLine="567"/>
        <w:jc w:val="both"/>
        <w:rPr>
          <w:sz w:val="28"/>
          <w:szCs w:val="28"/>
          <w:lang w:val="vi-VN"/>
        </w:rPr>
      </w:pPr>
      <w:r w:rsidRPr="001235E8">
        <w:rPr>
          <w:sz w:val="28"/>
          <w:szCs w:val="28"/>
          <w:lang w:val="vi-VN"/>
        </w:rPr>
        <w:t>a) Các tổ chức, cá nhân</w:t>
      </w:r>
      <w:r w:rsidR="008B38AD" w:rsidRPr="001235E8">
        <w:rPr>
          <w:sz w:val="28"/>
          <w:szCs w:val="28"/>
        </w:rPr>
        <w:t xml:space="preserve"> tham gia sản xuất nông nghiệp trong mô hình</w:t>
      </w:r>
      <w:r w:rsidRPr="001235E8">
        <w:rPr>
          <w:sz w:val="28"/>
          <w:szCs w:val="28"/>
          <w:lang w:val="vi-VN"/>
        </w:rPr>
        <w:t xml:space="preserve"> được thụ hưởng các chính sách theo quy định tại Nghị quyết </w:t>
      </w:r>
      <w:r w:rsidR="00140947" w:rsidRPr="001235E8">
        <w:rPr>
          <w:sz w:val="28"/>
          <w:szCs w:val="28"/>
          <w:lang w:val="vi-VN"/>
        </w:rPr>
        <w:t xml:space="preserve">số </w:t>
      </w:r>
      <w:r w:rsidRPr="001235E8">
        <w:rPr>
          <w:sz w:val="28"/>
          <w:szCs w:val="28"/>
          <w:lang w:val="vi-VN"/>
        </w:rPr>
        <w:t xml:space="preserve">53/2025/NQ-HĐND </w:t>
      </w:r>
      <w:r w:rsidR="00140947" w:rsidRPr="001235E8">
        <w:rPr>
          <w:sz w:val="28"/>
          <w:szCs w:val="28"/>
          <w:lang w:val="vi-VN"/>
        </w:rPr>
        <w:t xml:space="preserve">ngày 26 tháng 11 năm </w:t>
      </w:r>
      <w:r w:rsidR="00B9511B" w:rsidRPr="001235E8">
        <w:rPr>
          <w:sz w:val="28"/>
          <w:szCs w:val="28"/>
          <w:lang w:val="vi-VN"/>
        </w:rPr>
        <w:t>2025</w:t>
      </w:r>
      <w:r w:rsidR="00140947" w:rsidRPr="001235E8">
        <w:rPr>
          <w:sz w:val="28"/>
          <w:szCs w:val="28"/>
          <w:lang w:val="vi-VN"/>
        </w:rPr>
        <w:t xml:space="preserve"> của Hội đồng nhân dân </w:t>
      </w:r>
      <w:r w:rsidRPr="001235E8">
        <w:rPr>
          <w:sz w:val="28"/>
          <w:szCs w:val="28"/>
          <w:lang w:val="vi-VN"/>
        </w:rPr>
        <w:t xml:space="preserve">Thành phố. </w:t>
      </w:r>
    </w:p>
    <w:p w:rsidR="00AA4DA2" w:rsidRPr="00BF5DD2" w:rsidRDefault="00816A23" w:rsidP="00972FFE">
      <w:pPr>
        <w:spacing w:before="120"/>
        <w:ind w:firstLine="567"/>
        <w:jc w:val="both"/>
        <w:rPr>
          <w:sz w:val="28"/>
          <w:szCs w:val="28"/>
          <w:lang w:val="vi-VN"/>
        </w:rPr>
      </w:pPr>
      <w:r w:rsidRPr="00BF5DD2">
        <w:rPr>
          <w:sz w:val="28"/>
          <w:szCs w:val="28"/>
        </w:rPr>
        <w:t>b</w:t>
      </w:r>
      <w:r w:rsidR="005B4D3A" w:rsidRPr="00BF5DD2">
        <w:rPr>
          <w:sz w:val="28"/>
          <w:szCs w:val="28"/>
          <w:lang w:val="vi-VN"/>
        </w:rPr>
        <w:t xml:space="preserve">) </w:t>
      </w:r>
      <w:r w:rsidR="00AA4DA2" w:rsidRPr="00BF5DD2">
        <w:rPr>
          <w:sz w:val="28"/>
          <w:szCs w:val="28"/>
          <w:lang w:val="vi-VN"/>
        </w:rPr>
        <w:t xml:space="preserve">Đối với các tổ chức, cá nhân không nhận hỗ trợ </w:t>
      </w:r>
      <w:r w:rsidR="008B38AD" w:rsidRPr="00BF5DD2">
        <w:rPr>
          <w:sz w:val="28"/>
          <w:szCs w:val="28"/>
        </w:rPr>
        <w:t xml:space="preserve">giống, vật tư theo quy định tại </w:t>
      </w:r>
      <w:r w:rsidR="008B38AD" w:rsidRPr="00BF5DD2">
        <w:rPr>
          <w:sz w:val="28"/>
          <w:szCs w:val="28"/>
          <w:lang w:val="vi-VN"/>
        </w:rPr>
        <w:t xml:space="preserve">điểm </w:t>
      </w:r>
      <w:r w:rsidR="00BF5DD2" w:rsidRPr="00BF5DD2">
        <w:rPr>
          <w:sz w:val="28"/>
          <w:szCs w:val="28"/>
        </w:rPr>
        <w:t>a</w:t>
      </w:r>
      <w:r w:rsidR="00AA4DA2" w:rsidRPr="00BF5DD2">
        <w:rPr>
          <w:sz w:val="28"/>
          <w:szCs w:val="28"/>
          <w:lang w:val="vi-VN"/>
        </w:rPr>
        <w:t xml:space="preserve"> khoản 2 Điều này thì được hỗ trợ </w:t>
      </w:r>
      <w:r w:rsidR="008B38AD" w:rsidRPr="00BF5DD2">
        <w:rPr>
          <w:sz w:val="28"/>
          <w:szCs w:val="28"/>
        </w:rPr>
        <w:t xml:space="preserve">trực tiếp bằng tiền tương đương với </w:t>
      </w:r>
      <w:r w:rsidR="00AA4DA2" w:rsidRPr="00BF5DD2">
        <w:rPr>
          <w:sz w:val="28"/>
          <w:szCs w:val="28"/>
          <w:lang w:val="vi-VN"/>
        </w:rPr>
        <w:t xml:space="preserve">50% chi phí </w:t>
      </w:r>
      <w:r w:rsidR="00367452" w:rsidRPr="00BF5DD2">
        <w:rPr>
          <w:sz w:val="28"/>
          <w:szCs w:val="28"/>
          <w:lang w:val="vi-VN"/>
        </w:rPr>
        <w:t xml:space="preserve">mua giống, vật tư </w:t>
      </w:r>
      <w:r w:rsidR="00AA4DA2" w:rsidRPr="00BF5DD2">
        <w:rPr>
          <w:sz w:val="28"/>
          <w:szCs w:val="28"/>
          <w:lang w:val="vi-VN"/>
        </w:rPr>
        <w:t xml:space="preserve">của mô hình căn cứ xác định trên hóa đơn, chứng từ tài chính hợp lệ theo quy định của pháp luật nhưng không quá 500 triệu đồng/tổ chức, cá </w:t>
      </w:r>
      <w:r w:rsidR="00590ECA" w:rsidRPr="00BF5DD2">
        <w:rPr>
          <w:sz w:val="28"/>
          <w:szCs w:val="28"/>
          <w:lang w:val="vi-VN"/>
        </w:rPr>
        <w:t>nhân.</w:t>
      </w:r>
    </w:p>
    <w:p w:rsidR="005B344D" w:rsidRPr="001235E8" w:rsidRDefault="00816A23" w:rsidP="00972FFE">
      <w:pPr>
        <w:spacing w:before="120"/>
        <w:ind w:firstLine="567"/>
        <w:jc w:val="both"/>
        <w:rPr>
          <w:sz w:val="28"/>
          <w:szCs w:val="28"/>
          <w:lang w:val="vi-VN"/>
        </w:rPr>
      </w:pPr>
      <w:r w:rsidRPr="001235E8">
        <w:rPr>
          <w:sz w:val="28"/>
          <w:szCs w:val="28"/>
        </w:rPr>
        <w:t>c</w:t>
      </w:r>
      <w:r w:rsidR="00B9511B" w:rsidRPr="001235E8">
        <w:rPr>
          <w:sz w:val="28"/>
          <w:szCs w:val="28"/>
          <w:lang w:val="vi-VN"/>
        </w:rPr>
        <w:t>) Tổng mức hỗ trợ</w:t>
      </w:r>
      <w:r w:rsidR="005B4D3A" w:rsidRPr="001235E8">
        <w:rPr>
          <w:sz w:val="28"/>
          <w:szCs w:val="28"/>
          <w:lang w:val="vi-VN"/>
        </w:rPr>
        <w:t xml:space="preserve"> tối</w:t>
      </w:r>
      <w:r w:rsidR="00B9511B" w:rsidRPr="001235E8">
        <w:rPr>
          <w:sz w:val="28"/>
          <w:szCs w:val="28"/>
          <w:lang w:val="vi-VN"/>
        </w:rPr>
        <w:t xml:space="preserve"> đa</w:t>
      </w:r>
      <w:r w:rsidR="005B4D3A" w:rsidRPr="001235E8">
        <w:rPr>
          <w:sz w:val="28"/>
          <w:szCs w:val="28"/>
          <w:lang w:val="vi-VN"/>
        </w:rPr>
        <w:t xml:space="preserve"> 3 tỷ đồng/tổ chức, cá nhân.</w:t>
      </w:r>
    </w:p>
    <w:p w:rsidR="005B344D" w:rsidRPr="001235E8" w:rsidRDefault="005B4D3A" w:rsidP="00972FFE">
      <w:pPr>
        <w:spacing w:before="120"/>
        <w:ind w:firstLine="567"/>
        <w:jc w:val="both"/>
        <w:rPr>
          <w:sz w:val="28"/>
          <w:szCs w:val="28"/>
          <w:lang w:val="vi-VN"/>
        </w:rPr>
      </w:pPr>
      <w:r w:rsidRPr="001235E8">
        <w:rPr>
          <w:sz w:val="28"/>
          <w:szCs w:val="28"/>
          <w:lang w:val="vi-VN"/>
        </w:rPr>
        <w:t>3. Nguồn kinh phí: Ngân sách cấp Thành phố hỗ trợ cho các tổ chức, cá nhân theo kế hoạch từ nguồn chi thường xuyên của Thành phố.</w:t>
      </w:r>
    </w:p>
    <w:p w:rsidR="00580FDE" w:rsidRPr="001235E8" w:rsidRDefault="00580FDE" w:rsidP="00972FFE">
      <w:pPr>
        <w:spacing w:before="120"/>
        <w:ind w:firstLine="567"/>
        <w:jc w:val="both"/>
        <w:rPr>
          <w:sz w:val="28"/>
          <w:szCs w:val="28"/>
          <w:lang w:val="vi-VN"/>
        </w:rPr>
      </w:pPr>
      <w:r w:rsidRPr="001235E8">
        <w:rPr>
          <w:b/>
          <w:bCs/>
          <w:sz w:val="28"/>
          <w:szCs w:val="28"/>
          <w:lang w:val="vi-VN"/>
        </w:rPr>
        <w:t>Điều 8. Hỗ trợ hoạt động của hợp tác xã tham gia mô hình thí điểm</w:t>
      </w:r>
    </w:p>
    <w:p w:rsidR="00580FDE" w:rsidRPr="001235E8" w:rsidRDefault="00580FDE" w:rsidP="00972FFE">
      <w:pPr>
        <w:spacing w:before="120"/>
        <w:ind w:firstLine="567"/>
        <w:jc w:val="both"/>
        <w:rPr>
          <w:b/>
          <w:bCs/>
          <w:sz w:val="28"/>
          <w:szCs w:val="28"/>
          <w:lang w:val="vi-VN"/>
        </w:rPr>
      </w:pPr>
      <w:r w:rsidRPr="001235E8">
        <w:rPr>
          <w:sz w:val="28"/>
          <w:szCs w:val="28"/>
          <w:lang w:val="vi-VN"/>
        </w:rPr>
        <w:t>1. Đối tượng: Các Hợp tác xã là đầu mối xây dựng kế hoạch và quản lý hoạt động sản xuất của mô hình thí điểm.</w:t>
      </w:r>
    </w:p>
    <w:p w:rsidR="00580FDE" w:rsidRPr="001235E8" w:rsidRDefault="00580FDE" w:rsidP="00972FFE">
      <w:pPr>
        <w:spacing w:before="120" w:line="276" w:lineRule="auto"/>
        <w:ind w:firstLine="567"/>
        <w:jc w:val="both"/>
        <w:rPr>
          <w:sz w:val="28"/>
          <w:szCs w:val="28"/>
          <w:lang w:val="vi-VN"/>
        </w:rPr>
      </w:pPr>
      <w:r w:rsidRPr="001235E8">
        <w:rPr>
          <w:sz w:val="28"/>
          <w:szCs w:val="28"/>
          <w:lang w:val="vi-VN"/>
        </w:rPr>
        <w:lastRenderedPageBreak/>
        <w:t>2. Nội dung và mức hỗ trợ:</w:t>
      </w:r>
    </w:p>
    <w:p w:rsidR="00D86075" w:rsidRPr="001235E8" w:rsidRDefault="00580FDE" w:rsidP="00972FFE">
      <w:pPr>
        <w:spacing w:before="120" w:line="276" w:lineRule="auto"/>
        <w:ind w:firstLine="567"/>
        <w:jc w:val="both"/>
        <w:rPr>
          <w:sz w:val="28"/>
          <w:szCs w:val="28"/>
          <w:lang w:val="vi-VN"/>
        </w:rPr>
      </w:pPr>
      <w:r w:rsidRPr="001235E8">
        <w:rPr>
          <w:sz w:val="28"/>
          <w:szCs w:val="28"/>
          <w:lang w:val="vi-VN"/>
        </w:rPr>
        <w:t xml:space="preserve">a) </w:t>
      </w:r>
      <w:r w:rsidR="00D86075" w:rsidRPr="001235E8">
        <w:rPr>
          <w:sz w:val="28"/>
          <w:szCs w:val="28"/>
          <w:lang w:val="vi-VN"/>
        </w:rPr>
        <w:t xml:space="preserve">Hỗ trợ </w:t>
      </w:r>
      <w:r w:rsidR="008B38AD" w:rsidRPr="001235E8">
        <w:rPr>
          <w:sz w:val="28"/>
          <w:szCs w:val="28"/>
        </w:rPr>
        <w:t>theo mức tối đa</w:t>
      </w:r>
      <w:r w:rsidR="00D86075" w:rsidRPr="001235E8">
        <w:rPr>
          <w:sz w:val="28"/>
          <w:szCs w:val="28"/>
          <w:lang w:val="vi-VN"/>
        </w:rPr>
        <w:t xml:space="preserve"> các chính sách quy định tại Nghị định số 113/2024/NĐ-CP ngày 12 tháng 9 năm 2024 của Chính phủ về quy định chi tiết một số điều của Luật Hợp tác xã.</w:t>
      </w:r>
    </w:p>
    <w:p w:rsidR="008A0305" w:rsidRPr="001235E8" w:rsidRDefault="008A0305" w:rsidP="00972FFE">
      <w:pPr>
        <w:spacing w:before="120" w:line="276" w:lineRule="auto"/>
        <w:ind w:firstLine="567"/>
        <w:jc w:val="both"/>
        <w:rPr>
          <w:sz w:val="28"/>
          <w:szCs w:val="28"/>
          <w:lang w:val="vi-VN"/>
        </w:rPr>
      </w:pPr>
      <w:r w:rsidRPr="001235E8">
        <w:rPr>
          <w:sz w:val="28"/>
          <w:szCs w:val="28"/>
          <w:lang w:val="vi-VN"/>
        </w:rPr>
        <w:t>b) Hỗ trợ kinh phí quản lý, triển khai và chỉ đạo mô hình: Mức hỗ trợ hằng tháng bằng 1,5 lần mức lương tối thiểu vùng, tối đa 36 tháng/người và tối đa 04 người/hợp tác xã.</w:t>
      </w:r>
    </w:p>
    <w:p w:rsidR="00580FDE" w:rsidRPr="001235E8" w:rsidRDefault="00580FDE" w:rsidP="00972FFE">
      <w:pPr>
        <w:spacing w:before="120" w:line="276" w:lineRule="auto"/>
        <w:ind w:firstLine="567"/>
        <w:jc w:val="both"/>
        <w:rPr>
          <w:sz w:val="28"/>
          <w:szCs w:val="28"/>
          <w:lang w:val="vi-VN"/>
        </w:rPr>
      </w:pPr>
      <w:r w:rsidRPr="001235E8">
        <w:rPr>
          <w:sz w:val="28"/>
          <w:szCs w:val="28"/>
          <w:lang w:val="vi-VN"/>
        </w:rPr>
        <w:t>3. Nguồn kinh phí: Ngân sách Thành phố hỗ trợ cho các Hợp tác xã theo kế hoạch từ nguồn chi thường xuyên của Thành phố.</w:t>
      </w:r>
    </w:p>
    <w:p w:rsidR="009170E4" w:rsidRPr="001235E8" w:rsidRDefault="005B4D3A" w:rsidP="00972FFE">
      <w:pPr>
        <w:spacing w:before="120" w:line="276" w:lineRule="auto"/>
        <w:ind w:firstLine="567"/>
        <w:jc w:val="both"/>
        <w:rPr>
          <w:b/>
          <w:sz w:val="28"/>
          <w:szCs w:val="28"/>
          <w:lang w:val="vi-VN"/>
        </w:rPr>
      </w:pPr>
      <w:r w:rsidRPr="001235E8">
        <w:rPr>
          <w:b/>
          <w:sz w:val="28"/>
          <w:szCs w:val="28"/>
          <w:lang w:val="vi-VN"/>
        </w:rPr>
        <w:t xml:space="preserve">Điều 9. Hỗ trợ </w:t>
      </w:r>
      <w:r w:rsidR="009F5B15" w:rsidRPr="001235E8">
        <w:rPr>
          <w:b/>
          <w:sz w:val="28"/>
          <w:szCs w:val="28"/>
        </w:rPr>
        <w:t xml:space="preserve">khuyến khích </w:t>
      </w:r>
      <w:r w:rsidRPr="001235E8">
        <w:rPr>
          <w:b/>
          <w:sz w:val="28"/>
          <w:szCs w:val="28"/>
          <w:lang w:val="vi-VN"/>
        </w:rPr>
        <w:t xml:space="preserve">tập </w:t>
      </w:r>
      <w:r w:rsidR="009F5B15" w:rsidRPr="001235E8">
        <w:rPr>
          <w:b/>
          <w:sz w:val="28"/>
          <w:szCs w:val="28"/>
          <w:lang w:val="vi-VN"/>
        </w:rPr>
        <w:t>trung đất đai</w:t>
      </w:r>
    </w:p>
    <w:p w:rsidR="005B344D" w:rsidRPr="001235E8" w:rsidRDefault="005B4D3A" w:rsidP="00972FFE">
      <w:pPr>
        <w:spacing w:before="120" w:line="276" w:lineRule="auto"/>
        <w:ind w:firstLine="567"/>
        <w:jc w:val="both"/>
        <w:rPr>
          <w:sz w:val="28"/>
          <w:szCs w:val="28"/>
          <w:lang w:val="vi-VN"/>
        </w:rPr>
      </w:pPr>
      <w:r w:rsidRPr="001235E8">
        <w:rPr>
          <w:sz w:val="28"/>
          <w:szCs w:val="28"/>
          <w:lang w:val="vi-VN"/>
        </w:rPr>
        <w:t xml:space="preserve">1. Đối tượng, điều kiện áp dụng: </w:t>
      </w:r>
    </w:p>
    <w:p w:rsidR="005B344D" w:rsidRPr="001235E8" w:rsidRDefault="005B4D3A" w:rsidP="00972FFE">
      <w:pPr>
        <w:spacing w:before="120" w:line="276" w:lineRule="auto"/>
        <w:ind w:firstLine="567"/>
        <w:jc w:val="both"/>
        <w:rPr>
          <w:sz w:val="28"/>
          <w:szCs w:val="28"/>
        </w:rPr>
      </w:pPr>
      <w:r w:rsidRPr="001235E8">
        <w:rPr>
          <w:sz w:val="28"/>
          <w:szCs w:val="28"/>
          <w:lang w:val="vi-VN"/>
        </w:rPr>
        <w:t xml:space="preserve">a) </w:t>
      </w:r>
      <w:r w:rsidR="001C0481" w:rsidRPr="001235E8">
        <w:rPr>
          <w:sz w:val="28"/>
          <w:szCs w:val="28"/>
        </w:rPr>
        <w:t>Các cá nhân</w:t>
      </w:r>
      <w:r w:rsidR="003C1D7F" w:rsidRPr="001235E8">
        <w:rPr>
          <w:sz w:val="28"/>
          <w:szCs w:val="28"/>
        </w:rPr>
        <w:t xml:space="preserve"> cho thuê </w:t>
      </w:r>
      <w:r w:rsidRPr="001235E8">
        <w:rPr>
          <w:sz w:val="28"/>
          <w:szCs w:val="28"/>
          <w:lang w:val="vi-VN"/>
        </w:rPr>
        <w:t xml:space="preserve">quyền sử dụng đất </w:t>
      </w:r>
      <w:r w:rsidR="009F5B15" w:rsidRPr="001235E8">
        <w:rPr>
          <w:sz w:val="28"/>
          <w:szCs w:val="28"/>
          <w:lang w:val="vi-VN"/>
        </w:rPr>
        <w:t>để tập trung đất đai</w:t>
      </w:r>
      <w:r w:rsidRPr="001235E8">
        <w:rPr>
          <w:sz w:val="28"/>
          <w:szCs w:val="28"/>
          <w:lang w:val="vi-VN"/>
        </w:rPr>
        <w:t xml:space="preserve"> thực hiện </w:t>
      </w:r>
      <w:r w:rsidR="001C0481" w:rsidRPr="001235E8">
        <w:rPr>
          <w:sz w:val="28"/>
          <w:szCs w:val="28"/>
        </w:rPr>
        <w:t>phát triển sản xuất quy mô lớn</w:t>
      </w:r>
      <w:r w:rsidRPr="001235E8">
        <w:rPr>
          <w:sz w:val="28"/>
          <w:szCs w:val="28"/>
          <w:lang w:val="vi-VN"/>
        </w:rPr>
        <w:t>.</w:t>
      </w:r>
    </w:p>
    <w:p w:rsidR="005B344D" w:rsidRPr="001235E8" w:rsidRDefault="005B4D3A" w:rsidP="00972FFE">
      <w:pPr>
        <w:spacing w:before="120" w:line="276" w:lineRule="auto"/>
        <w:ind w:firstLine="567"/>
        <w:jc w:val="both"/>
        <w:rPr>
          <w:sz w:val="28"/>
          <w:szCs w:val="28"/>
          <w:lang w:val="vi-VN"/>
        </w:rPr>
      </w:pPr>
      <w:r w:rsidRPr="001235E8">
        <w:rPr>
          <w:sz w:val="28"/>
          <w:szCs w:val="28"/>
          <w:lang w:val="vi-VN"/>
        </w:rPr>
        <w:t>c) Quy mô nhận chuyển nhượng, thuê quyền sử dụng đất tối thiểu từ 05 ha.</w:t>
      </w:r>
      <w:r w:rsidR="00180030" w:rsidRPr="001235E8">
        <w:rPr>
          <w:sz w:val="28"/>
          <w:szCs w:val="28"/>
          <w:lang w:val="vi-VN"/>
        </w:rPr>
        <w:t xml:space="preserve"> </w:t>
      </w:r>
    </w:p>
    <w:p w:rsidR="005B344D" w:rsidRPr="001235E8" w:rsidRDefault="005B4D3A" w:rsidP="00972FFE">
      <w:pPr>
        <w:spacing w:before="120" w:line="276" w:lineRule="auto"/>
        <w:ind w:firstLine="567"/>
        <w:jc w:val="both"/>
        <w:rPr>
          <w:sz w:val="28"/>
          <w:szCs w:val="28"/>
          <w:lang w:val="vi-VN"/>
        </w:rPr>
      </w:pPr>
      <w:r w:rsidRPr="001235E8">
        <w:rPr>
          <w:sz w:val="28"/>
          <w:szCs w:val="28"/>
          <w:lang w:val="vi-VN"/>
        </w:rPr>
        <w:t xml:space="preserve">d) Có Hợp đồng </w:t>
      </w:r>
      <w:r w:rsidR="006A1AC0" w:rsidRPr="001235E8">
        <w:rPr>
          <w:sz w:val="28"/>
          <w:szCs w:val="28"/>
        </w:rPr>
        <w:t xml:space="preserve">cho </w:t>
      </w:r>
      <w:r w:rsidRPr="001235E8">
        <w:rPr>
          <w:sz w:val="28"/>
          <w:szCs w:val="28"/>
          <w:lang w:val="vi-VN"/>
        </w:rPr>
        <w:t xml:space="preserve">thuê quyền sử dụng đất có thời hạn thuê tối thiểu </w:t>
      </w:r>
      <w:r w:rsidR="00180030" w:rsidRPr="001235E8">
        <w:rPr>
          <w:sz w:val="28"/>
          <w:szCs w:val="28"/>
          <w:lang w:val="vi-VN"/>
        </w:rPr>
        <w:t>0</w:t>
      </w:r>
      <w:r w:rsidR="006A1AC0" w:rsidRPr="001235E8">
        <w:rPr>
          <w:sz w:val="28"/>
          <w:szCs w:val="28"/>
        </w:rPr>
        <w:t>5</w:t>
      </w:r>
      <w:r w:rsidRPr="001235E8">
        <w:rPr>
          <w:sz w:val="28"/>
          <w:szCs w:val="28"/>
          <w:lang w:val="vi-VN"/>
        </w:rPr>
        <w:t xml:space="preserve"> năm để thực hiện mô hình thí điểm.</w:t>
      </w:r>
    </w:p>
    <w:p w:rsidR="005B344D" w:rsidRPr="001235E8" w:rsidRDefault="005B4D3A" w:rsidP="00972FFE">
      <w:pPr>
        <w:spacing w:before="120" w:line="276" w:lineRule="auto"/>
        <w:ind w:firstLine="567"/>
        <w:jc w:val="both"/>
        <w:rPr>
          <w:sz w:val="28"/>
          <w:szCs w:val="28"/>
          <w:lang w:val="vi-VN"/>
        </w:rPr>
      </w:pPr>
      <w:r w:rsidRPr="001235E8">
        <w:rPr>
          <w:sz w:val="28"/>
          <w:szCs w:val="28"/>
          <w:lang w:val="vi-VN"/>
        </w:rPr>
        <w:t xml:space="preserve">2. </w:t>
      </w:r>
      <w:r w:rsidR="001C0481" w:rsidRPr="001235E8">
        <w:rPr>
          <w:sz w:val="28"/>
          <w:szCs w:val="28"/>
        </w:rPr>
        <w:t>M</w:t>
      </w:r>
      <w:r w:rsidRPr="001235E8">
        <w:rPr>
          <w:sz w:val="28"/>
          <w:szCs w:val="28"/>
          <w:lang w:val="vi-VN"/>
        </w:rPr>
        <w:t>ức hỗ trợ</w:t>
      </w:r>
    </w:p>
    <w:p w:rsidR="00FD75B2" w:rsidRPr="001235E8" w:rsidRDefault="00FD75B2" w:rsidP="00972FFE">
      <w:pPr>
        <w:shd w:val="clear" w:color="auto" w:fill="FFFFFF"/>
        <w:spacing w:before="120" w:line="276" w:lineRule="auto"/>
        <w:ind w:firstLine="567"/>
        <w:jc w:val="both"/>
        <w:rPr>
          <w:sz w:val="28"/>
          <w:szCs w:val="28"/>
          <w:lang w:val="vi-VN"/>
        </w:rPr>
      </w:pPr>
      <w:r w:rsidRPr="001235E8">
        <w:rPr>
          <w:sz w:val="28"/>
          <w:szCs w:val="28"/>
          <w:lang w:val="vi-VN"/>
        </w:rPr>
        <w:t>Hỗ trợ cá nhân cho thuê, chuyển nhượng quyền sử dụng đất chi phí để chuyển đổi nghề nghiệp, mức hỗ trợ 30.000.000 đồng/ha/năm. Thời gian hỗ trợ 0</w:t>
      </w:r>
      <w:r w:rsidR="006A1AC0" w:rsidRPr="001235E8">
        <w:rPr>
          <w:sz w:val="28"/>
          <w:szCs w:val="28"/>
        </w:rPr>
        <w:t>2</w:t>
      </w:r>
      <w:r w:rsidRPr="001235E8">
        <w:rPr>
          <w:sz w:val="28"/>
          <w:szCs w:val="28"/>
          <w:lang w:val="vi-VN"/>
        </w:rPr>
        <w:t xml:space="preserve"> năm.</w:t>
      </w:r>
    </w:p>
    <w:p w:rsidR="005B344D" w:rsidRPr="001235E8" w:rsidRDefault="005B4D3A" w:rsidP="00972FFE">
      <w:pPr>
        <w:spacing w:before="120" w:line="276" w:lineRule="auto"/>
        <w:ind w:firstLine="567"/>
        <w:jc w:val="both"/>
        <w:rPr>
          <w:sz w:val="28"/>
          <w:szCs w:val="28"/>
          <w:shd w:val="clear" w:color="auto" w:fill="FFFFFF"/>
          <w:lang w:val="vi-VN"/>
        </w:rPr>
      </w:pPr>
      <w:r w:rsidRPr="001235E8">
        <w:rPr>
          <w:bCs/>
          <w:sz w:val="28"/>
          <w:szCs w:val="28"/>
          <w:lang w:val="vi-VN"/>
        </w:rPr>
        <w:t xml:space="preserve">3. Nguồn kinh phí hỗ trợ: </w:t>
      </w:r>
      <w:r w:rsidRPr="001235E8">
        <w:rPr>
          <w:sz w:val="28"/>
          <w:szCs w:val="28"/>
          <w:shd w:val="clear" w:color="auto" w:fill="FFFFFF"/>
          <w:lang w:val="vi-VN"/>
        </w:rPr>
        <w:t>Ngân sách Thành phố</w:t>
      </w:r>
    </w:p>
    <w:p w:rsidR="005B344D" w:rsidRPr="001235E8" w:rsidRDefault="005B4D3A" w:rsidP="00972FFE">
      <w:pPr>
        <w:spacing w:before="120" w:line="276" w:lineRule="auto"/>
        <w:ind w:firstLine="567"/>
        <w:jc w:val="both"/>
        <w:rPr>
          <w:b/>
          <w:sz w:val="28"/>
          <w:szCs w:val="28"/>
          <w:shd w:val="clear" w:color="auto" w:fill="FFFFFF"/>
          <w:lang w:val="vi-VN"/>
        </w:rPr>
      </w:pPr>
      <w:r w:rsidRPr="001235E8">
        <w:rPr>
          <w:b/>
          <w:sz w:val="28"/>
          <w:szCs w:val="28"/>
          <w:shd w:val="clear" w:color="auto" w:fill="FFFFFF"/>
          <w:lang w:val="vi-VN"/>
        </w:rPr>
        <w:t>Điều 10. Hỗ trợ kiểm tra, kiểm nghiệm, đánh giá</w:t>
      </w:r>
    </w:p>
    <w:p w:rsidR="005B344D" w:rsidRPr="001235E8" w:rsidRDefault="005B4D3A" w:rsidP="00972FFE">
      <w:pPr>
        <w:spacing w:before="120" w:line="276" w:lineRule="auto"/>
        <w:ind w:firstLine="567"/>
        <w:jc w:val="both"/>
        <w:rPr>
          <w:sz w:val="28"/>
          <w:szCs w:val="28"/>
          <w:lang w:val="vi-VN"/>
        </w:rPr>
      </w:pPr>
      <w:r w:rsidRPr="001235E8">
        <w:rPr>
          <w:sz w:val="28"/>
          <w:szCs w:val="28"/>
          <w:shd w:val="clear" w:color="auto" w:fill="FFFFFF"/>
          <w:lang w:val="vi-VN"/>
        </w:rPr>
        <w:t>Thành phố hỗ trợ 100% chi phí kiểm tra, kiểm nghiệm các chỉ tiêu chính của mô hình về chất lượng nông sản, các chỉ tiêu về môi trường. Chỉ tiêu kiể</w:t>
      </w:r>
      <w:r w:rsidR="005722BD" w:rsidRPr="001235E8">
        <w:rPr>
          <w:sz w:val="28"/>
          <w:szCs w:val="28"/>
          <w:shd w:val="clear" w:color="auto" w:fill="FFFFFF"/>
          <w:lang w:val="vi-VN"/>
        </w:rPr>
        <w:t>m tra, kiểm nghiệm cụ thể, tần s</w:t>
      </w:r>
      <w:r w:rsidR="00C2153E" w:rsidRPr="001235E8">
        <w:rPr>
          <w:sz w:val="28"/>
          <w:szCs w:val="28"/>
          <w:shd w:val="clear" w:color="auto" w:fill="FFFFFF"/>
          <w:lang w:val="vi-VN"/>
        </w:rPr>
        <w:t>uất thực hiện do Ủy ban nhân dân</w:t>
      </w:r>
      <w:r w:rsidRPr="001235E8">
        <w:rPr>
          <w:sz w:val="28"/>
          <w:szCs w:val="28"/>
          <w:shd w:val="clear" w:color="auto" w:fill="FFFFFF"/>
          <w:lang w:val="vi-VN"/>
        </w:rPr>
        <w:t xml:space="preserve"> Thành phố quy định.</w:t>
      </w:r>
    </w:p>
    <w:p w:rsidR="005B344D" w:rsidRPr="001235E8" w:rsidRDefault="005B4D3A" w:rsidP="00972FFE">
      <w:pPr>
        <w:spacing w:before="240"/>
        <w:jc w:val="center"/>
        <w:rPr>
          <w:b/>
          <w:bCs/>
          <w:sz w:val="28"/>
          <w:szCs w:val="28"/>
          <w:lang w:val="vi-VN"/>
        </w:rPr>
      </w:pPr>
      <w:r w:rsidRPr="001235E8">
        <w:rPr>
          <w:b/>
          <w:bCs/>
          <w:sz w:val="28"/>
          <w:szCs w:val="28"/>
          <w:lang w:val="vi-VN"/>
        </w:rPr>
        <w:t>Mục 2.</w:t>
      </w:r>
    </w:p>
    <w:p w:rsidR="005B344D" w:rsidRPr="001235E8" w:rsidRDefault="005B4D3A" w:rsidP="00972FFE">
      <w:pPr>
        <w:jc w:val="center"/>
        <w:rPr>
          <w:b/>
          <w:bCs/>
          <w:sz w:val="28"/>
          <w:szCs w:val="28"/>
          <w:lang w:val="vi-VN"/>
        </w:rPr>
      </w:pPr>
      <w:r w:rsidRPr="001235E8">
        <w:rPr>
          <w:b/>
          <w:bCs/>
          <w:sz w:val="28"/>
          <w:szCs w:val="28"/>
          <w:lang w:val="vi-VN"/>
        </w:rPr>
        <w:t xml:space="preserve">CÔNG TÁC QUẢN LÝ, KIỂM SOÁT VÀ ĐÁNH GIÁ MÔ HÌNH </w:t>
      </w:r>
    </w:p>
    <w:p w:rsidR="005B344D" w:rsidRPr="001235E8" w:rsidRDefault="005B4D3A" w:rsidP="00972FFE">
      <w:pPr>
        <w:spacing w:before="120" w:line="276" w:lineRule="auto"/>
        <w:ind w:firstLine="567"/>
        <w:jc w:val="both"/>
        <w:rPr>
          <w:sz w:val="28"/>
          <w:szCs w:val="28"/>
          <w:lang w:val="vi-VN"/>
        </w:rPr>
      </w:pPr>
      <w:r w:rsidRPr="001235E8">
        <w:rPr>
          <w:b/>
          <w:bCs/>
          <w:sz w:val="28"/>
          <w:szCs w:val="28"/>
          <w:lang w:val="vi-VN"/>
        </w:rPr>
        <w:t>Điều 11. Quyền, nghĩa vụ và trách nhiệm của các bên liên quan</w:t>
      </w:r>
    </w:p>
    <w:p w:rsidR="005B344D" w:rsidRPr="001235E8" w:rsidRDefault="005B4D3A" w:rsidP="00972FFE">
      <w:pPr>
        <w:spacing w:before="120" w:line="276" w:lineRule="auto"/>
        <w:ind w:firstLine="567"/>
        <w:jc w:val="both"/>
        <w:rPr>
          <w:sz w:val="28"/>
          <w:szCs w:val="28"/>
          <w:lang w:val="vi-VN"/>
        </w:rPr>
      </w:pPr>
      <w:r w:rsidRPr="001235E8">
        <w:rPr>
          <w:sz w:val="28"/>
          <w:szCs w:val="28"/>
          <w:lang w:val="vi-VN"/>
        </w:rPr>
        <w:t xml:space="preserve">1. Đối tượng tham gia thí điểm: Được hưởng các chính sách hỗ trợ quy định tại Điều 6, 7, </w:t>
      </w:r>
      <w:r w:rsidR="00064B41" w:rsidRPr="001235E8">
        <w:rPr>
          <w:sz w:val="28"/>
          <w:szCs w:val="28"/>
          <w:lang w:val="vi-VN"/>
        </w:rPr>
        <w:t>8, 9 và 10 Nghị quyết này</w:t>
      </w:r>
      <w:r w:rsidRPr="001235E8">
        <w:rPr>
          <w:sz w:val="28"/>
          <w:szCs w:val="28"/>
          <w:lang w:val="vi-VN"/>
        </w:rPr>
        <w:t>; chịu trách nhiệm thực hiện đúng cam kết, báo cáo định kỳ.</w:t>
      </w:r>
    </w:p>
    <w:p w:rsidR="005B344D" w:rsidRPr="001235E8" w:rsidRDefault="005B4D3A" w:rsidP="00972FFE">
      <w:pPr>
        <w:spacing w:before="120" w:line="276" w:lineRule="auto"/>
        <w:ind w:firstLine="567"/>
        <w:jc w:val="both"/>
        <w:rPr>
          <w:sz w:val="28"/>
          <w:szCs w:val="28"/>
          <w:lang w:val="vi-VN"/>
        </w:rPr>
      </w:pPr>
      <w:r w:rsidRPr="001235E8">
        <w:rPr>
          <w:sz w:val="28"/>
          <w:szCs w:val="28"/>
          <w:lang w:val="vi-VN"/>
        </w:rPr>
        <w:t>2. Ủy ban nhân dân Thành phố: Chỉ đạo tổ chức triển khai, thẩm định hồ sơ, cấp kinh phí, quản lý rủi ro.</w:t>
      </w:r>
    </w:p>
    <w:p w:rsidR="005B344D" w:rsidRPr="001235E8" w:rsidRDefault="005B4D3A" w:rsidP="00972FFE">
      <w:pPr>
        <w:spacing w:before="120" w:line="276" w:lineRule="auto"/>
        <w:ind w:firstLine="567"/>
        <w:jc w:val="both"/>
        <w:rPr>
          <w:sz w:val="28"/>
          <w:szCs w:val="28"/>
          <w:lang w:val="vi-VN"/>
        </w:rPr>
      </w:pPr>
      <w:r w:rsidRPr="001235E8">
        <w:rPr>
          <w:sz w:val="28"/>
          <w:szCs w:val="28"/>
          <w:lang w:val="vi-VN"/>
        </w:rPr>
        <w:t>3. Hội đồng nhân dân Thành phố: Giám sát, đánh giá kết quả thí điểm.</w:t>
      </w:r>
    </w:p>
    <w:p w:rsidR="005B344D" w:rsidRPr="001235E8" w:rsidRDefault="005B4D3A" w:rsidP="0043219E">
      <w:pPr>
        <w:spacing w:before="120" w:line="250" w:lineRule="auto"/>
        <w:ind w:firstLine="567"/>
        <w:jc w:val="both"/>
        <w:rPr>
          <w:sz w:val="28"/>
          <w:szCs w:val="28"/>
          <w:lang w:val="vi-VN"/>
        </w:rPr>
      </w:pPr>
      <w:r w:rsidRPr="001235E8">
        <w:rPr>
          <w:b/>
          <w:bCs/>
          <w:sz w:val="28"/>
          <w:szCs w:val="28"/>
          <w:lang w:val="vi-VN"/>
        </w:rPr>
        <w:lastRenderedPageBreak/>
        <w:t>Điều 12. Biện pháp quản lý rủi ro</w:t>
      </w:r>
    </w:p>
    <w:p w:rsidR="00271A16" w:rsidRPr="001235E8" w:rsidRDefault="005B4D3A" w:rsidP="0043219E">
      <w:pPr>
        <w:spacing w:before="120" w:line="250" w:lineRule="auto"/>
        <w:ind w:firstLine="567"/>
        <w:jc w:val="both"/>
        <w:rPr>
          <w:sz w:val="28"/>
          <w:szCs w:val="28"/>
          <w:lang w:val="vi-VN"/>
        </w:rPr>
      </w:pPr>
      <w:r w:rsidRPr="001235E8">
        <w:rPr>
          <w:sz w:val="28"/>
          <w:szCs w:val="28"/>
          <w:lang w:val="vi-VN"/>
        </w:rPr>
        <w:t xml:space="preserve">1. </w:t>
      </w:r>
      <w:r w:rsidR="00F8041E" w:rsidRPr="001235E8">
        <w:rPr>
          <w:sz w:val="28"/>
          <w:szCs w:val="28"/>
          <w:lang w:val="vi-VN"/>
        </w:rPr>
        <w:t>Hợp tác xã</w:t>
      </w:r>
      <w:r w:rsidRPr="001235E8">
        <w:rPr>
          <w:sz w:val="28"/>
          <w:szCs w:val="28"/>
          <w:lang w:val="vi-VN"/>
        </w:rPr>
        <w:t xml:space="preserve"> được giao đầu mối triển khai mô hình </w:t>
      </w:r>
      <w:r w:rsidR="00271A16" w:rsidRPr="001235E8">
        <w:rPr>
          <w:sz w:val="28"/>
          <w:szCs w:val="28"/>
          <w:lang w:val="vi-VN"/>
        </w:rPr>
        <w:t xml:space="preserve">có trách nhiệm tổng hợp, báo cáo bằng văn bản về tình hình thực hiện và các khó khăn phát sinh về Ủy ban nhân dân cấp xã và cơ quan thực hiện hỗ trợ trước 17 giờ ngày </w:t>
      </w:r>
      <w:r w:rsidR="00BF5DD2">
        <w:rPr>
          <w:sz w:val="28"/>
          <w:szCs w:val="28"/>
        </w:rPr>
        <w:t>t</w:t>
      </w:r>
      <w:r w:rsidR="00271A16" w:rsidRPr="001235E8">
        <w:rPr>
          <w:sz w:val="28"/>
          <w:szCs w:val="28"/>
          <w:lang w:val="vi-VN"/>
        </w:rPr>
        <w:t>hứ Sáu hằng tuần.</w:t>
      </w:r>
    </w:p>
    <w:p w:rsidR="00271A16" w:rsidRPr="001235E8" w:rsidRDefault="005B4D3A" w:rsidP="0043219E">
      <w:pPr>
        <w:spacing w:before="120" w:line="250" w:lineRule="auto"/>
        <w:ind w:firstLine="567"/>
        <w:jc w:val="both"/>
        <w:rPr>
          <w:sz w:val="28"/>
          <w:szCs w:val="28"/>
          <w:lang w:val="vi-VN"/>
        </w:rPr>
      </w:pPr>
      <w:r w:rsidRPr="001235E8">
        <w:rPr>
          <w:sz w:val="28"/>
          <w:szCs w:val="28"/>
          <w:lang w:val="vi-VN"/>
        </w:rPr>
        <w:t>2.</w:t>
      </w:r>
      <w:r w:rsidR="00271A16" w:rsidRPr="001235E8">
        <w:rPr>
          <w:sz w:val="28"/>
          <w:szCs w:val="28"/>
          <w:lang w:val="vi-VN"/>
        </w:rPr>
        <w:t xml:space="preserve"> Ủy ban nhân dân cấp xã kiểm tra định kỳ 01 lần/tháng và báo cáo tiến độ thực hiện; </w:t>
      </w:r>
      <w:r w:rsidR="00271A16" w:rsidRPr="001235E8">
        <w:rPr>
          <w:rStyle w:val="citation-767"/>
          <w:sz w:val="28"/>
          <w:szCs w:val="28"/>
          <w:lang w:val="vi-VN"/>
        </w:rPr>
        <w:t>tiến hành kiểm tra đột xuất ngay khi có sự cố phát sinh theo báo cáo của Hợp tác xã</w:t>
      </w:r>
      <w:r w:rsidR="00271A16" w:rsidRPr="001235E8">
        <w:rPr>
          <w:sz w:val="28"/>
          <w:szCs w:val="28"/>
          <w:lang w:val="vi-VN"/>
        </w:rPr>
        <w:t>.</w:t>
      </w:r>
    </w:p>
    <w:p w:rsidR="005B344D" w:rsidRPr="001235E8" w:rsidRDefault="005B4D3A" w:rsidP="0043219E">
      <w:pPr>
        <w:spacing w:before="120" w:line="250" w:lineRule="auto"/>
        <w:ind w:firstLine="567"/>
        <w:jc w:val="both"/>
        <w:rPr>
          <w:sz w:val="28"/>
          <w:szCs w:val="28"/>
          <w:lang w:val="vi-VN"/>
        </w:rPr>
      </w:pPr>
      <w:r w:rsidRPr="001235E8">
        <w:rPr>
          <w:sz w:val="28"/>
          <w:szCs w:val="28"/>
          <w:lang w:val="vi-VN"/>
        </w:rPr>
        <w:t xml:space="preserve">3. Cơ quan được giao thực hiện hỗ trợ tổ chức kiểm tra, đánh giá kết quả, tiến độ thực hiện mô hình định kỳ </w:t>
      </w:r>
      <w:r w:rsidR="00271A16" w:rsidRPr="001235E8">
        <w:rPr>
          <w:sz w:val="28"/>
          <w:szCs w:val="28"/>
          <w:lang w:val="vi-VN"/>
        </w:rPr>
        <w:t>0</w:t>
      </w:r>
      <w:r w:rsidRPr="001235E8">
        <w:rPr>
          <w:sz w:val="28"/>
          <w:szCs w:val="28"/>
          <w:lang w:val="vi-VN"/>
        </w:rPr>
        <w:t xml:space="preserve">1 lần/quý và kiểm tra đột xuất khi có sự cố </w:t>
      </w:r>
      <w:r w:rsidR="00271A16" w:rsidRPr="001235E8">
        <w:rPr>
          <w:rStyle w:val="citation-767"/>
          <w:sz w:val="28"/>
          <w:szCs w:val="28"/>
          <w:lang w:val="vi-VN"/>
        </w:rPr>
        <w:t>phát sinh theo báo cáo của Hợp tác xã</w:t>
      </w:r>
      <w:r w:rsidR="00271A16" w:rsidRPr="001235E8">
        <w:rPr>
          <w:sz w:val="28"/>
          <w:szCs w:val="28"/>
          <w:lang w:val="vi-VN"/>
        </w:rPr>
        <w:t>.</w:t>
      </w:r>
    </w:p>
    <w:p w:rsidR="00AF45A4" w:rsidRPr="001235E8" w:rsidRDefault="00AF45A4" w:rsidP="0043219E">
      <w:pPr>
        <w:spacing w:before="120" w:line="250" w:lineRule="auto"/>
        <w:ind w:firstLine="567"/>
        <w:jc w:val="both"/>
        <w:rPr>
          <w:sz w:val="28"/>
          <w:szCs w:val="28"/>
          <w:lang w:val="vi-VN"/>
        </w:rPr>
      </w:pPr>
      <w:r w:rsidRPr="001235E8">
        <w:rPr>
          <w:sz w:val="28"/>
          <w:szCs w:val="28"/>
          <w:lang w:val="vi-VN"/>
        </w:rPr>
        <w:t>4. Xử lý rủi ro và hành vi vi phạm</w:t>
      </w:r>
    </w:p>
    <w:p w:rsidR="00AF45A4" w:rsidRPr="001235E8" w:rsidRDefault="00AF45A4" w:rsidP="0043219E">
      <w:pPr>
        <w:spacing w:before="120" w:line="250" w:lineRule="auto"/>
        <w:ind w:firstLine="567"/>
        <w:jc w:val="both"/>
        <w:rPr>
          <w:sz w:val="28"/>
          <w:szCs w:val="28"/>
          <w:lang w:val="vi-VN"/>
        </w:rPr>
      </w:pPr>
      <w:r w:rsidRPr="001235E8">
        <w:rPr>
          <w:sz w:val="28"/>
          <w:szCs w:val="28"/>
          <w:lang w:val="vi-VN"/>
        </w:rPr>
        <w:t xml:space="preserve">a) Khi xác định có rủi ro phát sinh, cơ quan thực hiện hỗ trợ chủ trì, phối hợp với Ủy ban nhân dân cấp xã và các đơn vị liên quan áp dụng các biện pháp khắc phục kịp thời để hạn chế thiệt hại. </w:t>
      </w:r>
    </w:p>
    <w:p w:rsidR="00AF45A4" w:rsidRPr="001235E8" w:rsidRDefault="00AF45A4" w:rsidP="0043219E">
      <w:pPr>
        <w:spacing w:before="120" w:line="250" w:lineRule="auto"/>
        <w:ind w:firstLine="567"/>
        <w:jc w:val="both"/>
        <w:rPr>
          <w:sz w:val="28"/>
          <w:szCs w:val="28"/>
          <w:lang w:val="vi-VN"/>
        </w:rPr>
      </w:pPr>
      <w:r w:rsidRPr="001235E8">
        <w:rPr>
          <w:sz w:val="28"/>
          <w:szCs w:val="28"/>
          <w:lang w:val="vi-VN"/>
        </w:rPr>
        <w:t>b) Trường hợp phát hiện hành vi vi phạm quy định về thí điểm, cơ quan có thẩm quyền thực hiện lập biên bản, quyết định tạm dừng triển khai mô hình và đề xuất cấp có thẩm quyền xử lý vi phạm theo quy định của pháp luật.</w:t>
      </w:r>
    </w:p>
    <w:p w:rsidR="0084741B" w:rsidRPr="001235E8" w:rsidRDefault="0084741B" w:rsidP="0043219E">
      <w:pPr>
        <w:spacing w:before="120" w:line="250" w:lineRule="auto"/>
        <w:ind w:firstLine="567"/>
        <w:jc w:val="both"/>
        <w:rPr>
          <w:sz w:val="28"/>
          <w:szCs w:val="28"/>
          <w:lang w:val="vi-VN"/>
        </w:rPr>
      </w:pPr>
      <w:r w:rsidRPr="001235E8">
        <w:rPr>
          <w:sz w:val="28"/>
          <w:szCs w:val="28"/>
          <w:lang w:val="vi-VN"/>
        </w:rPr>
        <w:t>5. Việc phát sinh rủi ro do thiên tai, dịch bệnh trong quá trình thực hiện mô hình thí điểm thì được xem xét hỗ trợ theo quy định pháp luật hiện hành về khắc phục hậu quả thiên tai, dịch bệnh trong nông nghiệp.</w:t>
      </w:r>
    </w:p>
    <w:p w:rsidR="005B344D" w:rsidRPr="001235E8" w:rsidRDefault="005B4D3A" w:rsidP="0043219E">
      <w:pPr>
        <w:spacing w:before="120" w:line="250" w:lineRule="auto"/>
        <w:ind w:firstLine="567"/>
        <w:jc w:val="both"/>
        <w:rPr>
          <w:sz w:val="28"/>
          <w:szCs w:val="28"/>
          <w:lang w:val="vi-VN"/>
        </w:rPr>
      </w:pPr>
      <w:r w:rsidRPr="001235E8">
        <w:rPr>
          <w:b/>
          <w:bCs/>
          <w:sz w:val="28"/>
          <w:szCs w:val="28"/>
          <w:lang w:val="vi-VN"/>
        </w:rPr>
        <w:t>Điều 1</w:t>
      </w:r>
      <w:r w:rsidR="00DE2CE7" w:rsidRPr="001235E8">
        <w:rPr>
          <w:b/>
          <w:bCs/>
          <w:sz w:val="28"/>
          <w:szCs w:val="28"/>
        </w:rPr>
        <w:t>3</w:t>
      </w:r>
      <w:r w:rsidRPr="001235E8">
        <w:rPr>
          <w:b/>
          <w:bCs/>
          <w:sz w:val="28"/>
          <w:szCs w:val="28"/>
          <w:lang w:val="vi-VN"/>
        </w:rPr>
        <w:t>. Cơ chế kiểm soát, giám sát, đánh giá</w:t>
      </w:r>
    </w:p>
    <w:p w:rsidR="005B344D" w:rsidRPr="001235E8" w:rsidRDefault="005B4D3A" w:rsidP="0043219E">
      <w:pPr>
        <w:spacing w:before="120" w:line="250" w:lineRule="auto"/>
        <w:ind w:firstLine="567"/>
        <w:jc w:val="both"/>
        <w:rPr>
          <w:sz w:val="28"/>
          <w:szCs w:val="28"/>
          <w:lang w:val="vi-VN"/>
        </w:rPr>
      </w:pPr>
      <w:r w:rsidRPr="001235E8">
        <w:rPr>
          <w:sz w:val="28"/>
          <w:szCs w:val="28"/>
          <w:lang w:val="vi-VN"/>
        </w:rPr>
        <w:t xml:space="preserve">1. Uỷ ban nhân dân Thành phố thành lập Đoàn định kỳ kiểm tra và báo cáo kết quả triển khai thực hiện hàng quý. </w:t>
      </w:r>
    </w:p>
    <w:p w:rsidR="0084741B" w:rsidRPr="001235E8" w:rsidRDefault="005B4D3A" w:rsidP="0043219E">
      <w:pPr>
        <w:spacing w:before="120" w:line="250" w:lineRule="auto"/>
        <w:ind w:firstLine="567"/>
        <w:jc w:val="both"/>
        <w:rPr>
          <w:sz w:val="28"/>
          <w:szCs w:val="28"/>
          <w:lang w:val="vi-VN"/>
        </w:rPr>
      </w:pPr>
      <w:r w:rsidRPr="001235E8">
        <w:rPr>
          <w:sz w:val="28"/>
          <w:szCs w:val="28"/>
          <w:lang w:val="vi-VN"/>
        </w:rPr>
        <w:t>2. Hàng năm tổ chức hội nghị đánh giá kết qu</w:t>
      </w:r>
      <w:r w:rsidR="00591727" w:rsidRPr="001235E8">
        <w:rPr>
          <w:sz w:val="28"/>
          <w:szCs w:val="28"/>
          <w:lang w:val="vi-VN"/>
        </w:rPr>
        <w:t>ả thực hiện chính sách thí điểm;</w:t>
      </w:r>
      <w:r w:rsidRPr="001235E8">
        <w:rPr>
          <w:sz w:val="28"/>
          <w:szCs w:val="28"/>
          <w:lang w:val="vi-VN"/>
        </w:rPr>
        <w:t xml:space="preserve"> sơ kết </w:t>
      </w:r>
      <w:r w:rsidR="00591727" w:rsidRPr="001235E8">
        <w:rPr>
          <w:sz w:val="28"/>
          <w:szCs w:val="28"/>
          <w:lang w:val="vi-VN"/>
        </w:rPr>
        <w:t xml:space="preserve">việc </w:t>
      </w:r>
      <w:r w:rsidRPr="001235E8">
        <w:rPr>
          <w:sz w:val="28"/>
          <w:szCs w:val="28"/>
          <w:lang w:val="vi-VN"/>
        </w:rPr>
        <w:t>thực hiện</w:t>
      </w:r>
      <w:r w:rsidR="00591727" w:rsidRPr="001235E8">
        <w:rPr>
          <w:sz w:val="28"/>
          <w:szCs w:val="28"/>
          <w:lang w:val="vi-VN"/>
        </w:rPr>
        <w:t xml:space="preserve"> Nghị quyết, báo cáo kết quả</w:t>
      </w:r>
      <w:r w:rsidRPr="001235E8">
        <w:rPr>
          <w:sz w:val="28"/>
          <w:szCs w:val="28"/>
          <w:lang w:val="vi-VN"/>
        </w:rPr>
        <w:t xml:space="preserve"> </w:t>
      </w:r>
      <w:r w:rsidR="00591727" w:rsidRPr="001235E8">
        <w:rPr>
          <w:sz w:val="28"/>
          <w:szCs w:val="28"/>
          <w:lang w:val="vi-VN"/>
        </w:rPr>
        <w:t xml:space="preserve">tại kỳ họp cuối năm 2028; </w:t>
      </w:r>
      <w:r w:rsidRPr="001235E8">
        <w:rPr>
          <w:sz w:val="28"/>
          <w:szCs w:val="28"/>
          <w:lang w:val="vi-VN"/>
        </w:rPr>
        <w:t xml:space="preserve">tổng kết </w:t>
      </w:r>
      <w:r w:rsidR="00591727" w:rsidRPr="001235E8">
        <w:rPr>
          <w:sz w:val="28"/>
          <w:szCs w:val="28"/>
          <w:lang w:val="vi-VN"/>
        </w:rPr>
        <w:t xml:space="preserve">việc thực hiện </w:t>
      </w:r>
      <w:r w:rsidR="0084741B" w:rsidRPr="001235E8">
        <w:rPr>
          <w:sz w:val="28"/>
          <w:szCs w:val="28"/>
          <w:lang w:val="vi-VN"/>
        </w:rPr>
        <w:t xml:space="preserve">mô </w:t>
      </w:r>
      <w:r w:rsidR="00591727" w:rsidRPr="001235E8">
        <w:rPr>
          <w:sz w:val="28"/>
          <w:szCs w:val="28"/>
          <w:lang w:val="vi-VN"/>
        </w:rPr>
        <w:t xml:space="preserve">hình, báo cáo kết quả </w:t>
      </w:r>
      <w:r w:rsidR="0084741B" w:rsidRPr="001235E8">
        <w:rPr>
          <w:sz w:val="28"/>
          <w:szCs w:val="28"/>
          <w:lang w:val="vi-VN"/>
        </w:rPr>
        <w:t>tại kỳ họp cuối năm 2030.</w:t>
      </w:r>
    </w:p>
    <w:p w:rsidR="005B344D" w:rsidRPr="001235E8" w:rsidRDefault="005B4D3A" w:rsidP="0043219E">
      <w:pPr>
        <w:spacing w:before="120" w:line="250" w:lineRule="auto"/>
        <w:ind w:firstLine="567"/>
        <w:jc w:val="both"/>
        <w:rPr>
          <w:sz w:val="28"/>
          <w:szCs w:val="28"/>
          <w:lang w:val="vi-VN"/>
        </w:rPr>
      </w:pPr>
      <w:r w:rsidRPr="001235E8">
        <w:rPr>
          <w:sz w:val="28"/>
          <w:szCs w:val="28"/>
          <w:lang w:val="vi-VN"/>
        </w:rPr>
        <w:t>3. Công khai kết quả đánh giá trên Cổng thông tin điện tử Thành phố.</w:t>
      </w:r>
    </w:p>
    <w:p w:rsidR="005B344D" w:rsidRPr="001235E8" w:rsidRDefault="005B4D3A" w:rsidP="0043219E">
      <w:pPr>
        <w:spacing w:before="120" w:line="250" w:lineRule="auto"/>
        <w:ind w:firstLine="567"/>
        <w:jc w:val="both"/>
        <w:rPr>
          <w:sz w:val="28"/>
          <w:szCs w:val="28"/>
          <w:lang w:val="vi-VN"/>
        </w:rPr>
      </w:pPr>
      <w:r w:rsidRPr="001235E8">
        <w:rPr>
          <w:b/>
          <w:bCs/>
          <w:sz w:val="28"/>
          <w:szCs w:val="28"/>
          <w:lang w:val="vi-VN"/>
        </w:rPr>
        <w:t>Điều 1</w:t>
      </w:r>
      <w:r w:rsidR="00DE2CE7" w:rsidRPr="001235E8">
        <w:rPr>
          <w:b/>
          <w:bCs/>
          <w:sz w:val="28"/>
          <w:szCs w:val="28"/>
        </w:rPr>
        <w:t>4</w:t>
      </w:r>
      <w:r w:rsidRPr="001235E8">
        <w:rPr>
          <w:b/>
          <w:bCs/>
          <w:sz w:val="28"/>
          <w:szCs w:val="28"/>
          <w:lang w:val="vi-VN"/>
        </w:rPr>
        <w:t>. Điều kiện, trình tự điều chỉnh, gia hạn hoặc chấm dứt thí điểm</w:t>
      </w:r>
    </w:p>
    <w:p w:rsidR="005B344D" w:rsidRPr="001235E8" w:rsidRDefault="005B4D3A" w:rsidP="0043219E">
      <w:pPr>
        <w:spacing w:before="120" w:line="250" w:lineRule="auto"/>
        <w:ind w:firstLine="567"/>
        <w:jc w:val="both"/>
        <w:rPr>
          <w:sz w:val="28"/>
          <w:szCs w:val="28"/>
          <w:lang w:val="vi-VN"/>
        </w:rPr>
      </w:pPr>
      <w:r w:rsidRPr="001235E8">
        <w:rPr>
          <w:sz w:val="28"/>
          <w:szCs w:val="28"/>
          <w:lang w:val="vi-VN"/>
        </w:rPr>
        <w:t>1. Điều kiện để tham gia mô hình</w:t>
      </w:r>
    </w:p>
    <w:p w:rsidR="005B344D" w:rsidRPr="001235E8" w:rsidRDefault="005B4D3A" w:rsidP="0043219E">
      <w:pPr>
        <w:spacing w:before="120" w:line="250" w:lineRule="auto"/>
        <w:ind w:firstLine="567"/>
        <w:jc w:val="both"/>
        <w:rPr>
          <w:sz w:val="28"/>
          <w:szCs w:val="28"/>
          <w:lang w:val="vi-VN"/>
        </w:rPr>
      </w:pPr>
      <w:r w:rsidRPr="001235E8">
        <w:rPr>
          <w:sz w:val="28"/>
          <w:szCs w:val="28"/>
          <w:lang w:val="vi-VN"/>
        </w:rPr>
        <w:t>a) Có phương án sản xuất của Vùng sản xuất nông nghiệp tập trung được Uỷ ban nhân dân cấp xã phê duyệt;</w:t>
      </w:r>
    </w:p>
    <w:p w:rsidR="005B344D" w:rsidRPr="001235E8" w:rsidRDefault="005B4D3A" w:rsidP="0043219E">
      <w:pPr>
        <w:spacing w:before="120" w:line="250" w:lineRule="auto"/>
        <w:ind w:firstLine="567"/>
        <w:jc w:val="both"/>
        <w:rPr>
          <w:sz w:val="28"/>
          <w:szCs w:val="28"/>
          <w:lang w:val="vi-VN"/>
        </w:rPr>
      </w:pPr>
      <w:r w:rsidRPr="001235E8">
        <w:rPr>
          <w:sz w:val="28"/>
          <w:szCs w:val="28"/>
          <w:lang w:val="vi-VN"/>
        </w:rPr>
        <w:t>b) Có Hợp tác xã hoặc doanh nghiệp làm đầu mối xây dựng kế hoạch và quản lý toàn bộ hoạt động sản xuất của mô hình;</w:t>
      </w:r>
    </w:p>
    <w:p w:rsidR="005B344D" w:rsidRPr="001235E8" w:rsidRDefault="005B4D3A" w:rsidP="0043219E">
      <w:pPr>
        <w:spacing w:before="120" w:line="250" w:lineRule="auto"/>
        <w:ind w:firstLine="567"/>
        <w:jc w:val="both"/>
        <w:rPr>
          <w:sz w:val="28"/>
          <w:szCs w:val="28"/>
          <w:lang w:val="vi-VN"/>
        </w:rPr>
      </w:pPr>
      <w:r w:rsidRPr="001235E8">
        <w:rPr>
          <w:sz w:val="28"/>
          <w:szCs w:val="28"/>
          <w:lang w:val="vi-VN"/>
        </w:rPr>
        <w:t>c) Các tổ chức, cá nhân tham gia mô hình liên kết phải cam kết thực hiện theo phương án sản xuất được Uỷ ban nhân dân cấp xã phê duyệt; cam kết thực hiện sản xuất theo kế hoạch sản xuất được Hợp tác xã xây dựng trên cơ sở có sự thống nhất của tối thiểu 75% tổ chức, cá nhân tham gia mô hình thí điểm.</w:t>
      </w:r>
    </w:p>
    <w:p w:rsidR="005B344D" w:rsidRPr="001235E8" w:rsidRDefault="005B4D3A" w:rsidP="0043219E">
      <w:pPr>
        <w:spacing w:before="120" w:line="250" w:lineRule="auto"/>
        <w:ind w:firstLine="567"/>
        <w:jc w:val="both"/>
        <w:rPr>
          <w:sz w:val="28"/>
          <w:szCs w:val="28"/>
          <w:lang w:val="vi-VN"/>
        </w:rPr>
      </w:pPr>
      <w:r w:rsidRPr="001235E8">
        <w:rPr>
          <w:sz w:val="28"/>
          <w:szCs w:val="28"/>
          <w:lang w:val="vi-VN"/>
        </w:rPr>
        <w:lastRenderedPageBreak/>
        <w:t>2. Điều chỉnh: Khi có biến động lớn về quy hoạch hoặc hiệu quả thấp, Ủy ban nhân dân Thành phố báo cáo Thường trực Hội đồng nhân dân Thành phố quyết định.</w:t>
      </w:r>
    </w:p>
    <w:p w:rsidR="005B344D" w:rsidRPr="001235E8" w:rsidRDefault="005B4D3A" w:rsidP="0043219E">
      <w:pPr>
        <w:spacing w:before="120" w:line="250" w:lineRule="auto"/>
        <w:ind w:firstLine="567"/>
        <w:jc w:val="both"/>
        <w:rPr>
          <w:sz w:val="28"/>
          <w:szCs w:val="28"/>
          <w:lang w:val="vi-VN"/>
        </w:rPr>
      </w:pPr>
      <w:r w:rsidRPr="001235E8">
        <w:rPr>
          <w:sz w:val="28"/>
          <w:szCs w:val="28"/>
          <w:lang w:val="vi-VN"/>
        </w:rPr>
        <w:t>3. Gia hạn: Không quá 02 năm nếu đạt hiệu quả cao, có đề nghị của Ủy ban nhân dân Thành phố với Thường trực Hội đồng nhân dân Thành phố.</w:t>
      </w:r>
    </w:p>
    <w:p w:rsidR="005B344D" w:rsidRPr="001235E8" w:rsidRDefault="005B4D3A" w:rsidP="0043219E">
      <w:pPr>
        <w:spacing w:before="120" w:line="250" w:lineRule="auto"/>
        <w:ind w:firstLine="567"/>
        <w:jc w:val="both"/>
        <w:rPr>
          <w:sz w:val="28"/>
          <w:szCs w:val="28"/>
          <w:lang w:val="vi-VN"/>
        </w:rPr>
      </w:pPr>
      <w:r w:rsidRPr="001235E8">
        <w:rPr>
          <w:sz w:val="28"/>
          <w:szCs w:val="28"/>
          <w:lang w:val="vi-VN"/>
        </w:rPr>
        <w:t>4. Chấm dứt: Khi vi phạm nguyên tắc thí điểm hoặc không đảm bảo các điều kiện được hỗ trợ của từng nội dung cụ thể hoặc hết thời gian (được thông báo trước 06 tháng).</w:t>
      </w:r>
    </w:p>
    <w:p w:rsidR="005B344D" w:rsidRPr="001235E8" w:rsidRDefault="005B4D3A" w:rsidP="0043219E">
      <w:pPr>
        <w:spacing w:before="120" w:line="250" w:lineRule="auto"/>
        <w:jc w:val="center"/>
        <w:rPr>
          <w:sz w:val="28"/>
          <w:szCs w:val="28"/>
          <w:lang w:val="vi-VN"/>
        </w:rPr>
      </w:pPr>
      <w:r w:rsidRPr="001235E8">
        <w:rPr>
          <w:b/>
          <w:bCs/>
          <w:sz w:val="28"/>
          <w:szCs w:val="28"/>
          <w:lang w:val="vi-VN"/>
        </w:rPr>
        <w:t>Chương I</w:t>
      </w:r>
      <w:bookmarkEnd w:id="5"/>
      <w:r w:rsidRPr="001235E8">
        <w:rPr>
          <w:b/>
          <w:bCs/>
          <w:sz w:val="28"/>
          <w:szCs w:val="28"/>
          <w:lang w:val="vi-VN"/>
        </w:rPr>
        <w:t>II</w:t>
      </w:r>
    </w:p>
    <w:p w:rsidR="005B344D" w:rsidRPr="001235E8" w:rsidRDefault="005B4D3A" w:rsidP="0043219E">
      <w:pPr>
        <w:spacing w:line="250" w:lineRule="auto"/>
        <w:ind w:firstLine="720"/>
        <w:jc w:val="center"/>
        <w:rPr>
          <w:sz w:val="28"/>
          <w:szCs w:val="28"/>
          <w:lang w:val="vi-VN"/>
        </w:rPr>
      </w:pPr>
      <w:bookmarkStart w:id="6" w:name="chuong_4_name"/>
      <w:r w:rsidRPr="001235E8">
        <w:rPr>
          <w:b/>
          <w:bCs/>
          <w:sz w:val="28"/>
          <w:szCs w:val="28"/>
          <w:lang w:val="vi-VN"/>
        </w:rPr>
        <w:t>ĐIỀU KHOẢN THI HÀNH</w:t>
      </w:r>
      <w:bookmarkEnd w:id="6"/>
    </w:p>
    <w:p w:rsidR="005B344D" w:rsidRPr="001235E8" w:rsidRDefault="00DE2CE7" w:rsidP="0043219E">
      <w:pPr>
        <w:spacing w:before="80" w:line="250" w:lineRule="auto"/>
        <w:ind w:firstLine="720"/>
        <w:jc w:val="both"/>
        <w:rPr>
          <w:sz w:val="28"/>
          <w:szCs w:val="28"/>
          <w:lang w:val="vi-VN"/>
        </w:rPr>
      </w:pPr>
      <w:bookmarkStart w:id="7" w:name="dieu_47"/>
      <w:bookmarkStart w:id="8" w:name="_Hlk210838548"/>
      <w:r w:rsidRPr="001235E8">
        <w:rPr>
          <w:b/>
          <w:bCs/>
          <w:sz w:val="28"/>
          <w:szCs w:val="28"/>
          <w:lang w:val="vi-VN"/>
        </w:rPr>
        <w:t>Điều 15</w:t>
      </w:r>
      <w:r w:rsidR="005B4D3A" w:rsidRPr="001235E8">
        <w:rPr>
          <w:b/>
          <w:bCs/>
          <w:sz w:val="28"/>
          <w:szCs w:val="28"/>
          <w:lang w:val="vi-VN"/>
        </w:rPr>
        <w:t xml:space="preserve">. Trách nhiệm của Ủy ban nhân dân </w:t>
      </w:r>
      <w:bookmarkEnd w:id="7"/>
      <w:r w:rsidR="005B4D3A" w:rsidRPr="001235E8">
        <w:rPr>
          <w:b/>
          <w:bCs/>
          <w:sz w:val="28"/>
          <w:szCs w:val="28"/>
          <w:lang w:val="vi-VN"/>
        </w:rPr>
        <w:t>Thành phố</w:t>
      </w:r>
    </w:p>
    <w:p w:rsidR="00706D78" w:rsidRPr="001235E8" w:rsidRDefault="00706D78" w:rsidP="0043219E">
      <w:pPr>
        <w:pStyle w:val="ListParagraph"/>
        <w:numPr>
          <w:ilvl w:val="0"/>
          <w:numId w:val="6"/>
        </w:numPr>
        <w:spacing w:before="120" w:line="250" w:lineRule="auto"/>
        <w:jc w:val="both"/>
        <w:rPr>
          <w:sz w:val="28"/>
          <w:szCs w:val="28"/>
          <w:lang w:val="vi-VN"/>
        </w:rPr>
      </w:pPr>
      <w:r w:rsidRPr="001235E8">
        <w:rPr>
          <w:sz w:val="28"/>
          <w:szCs w:val="28"/>
        </w:rPr>
        <w:t>Q</w:t>
      </w:r>
      <w:r w:rsidRPr="001235E8">
        <w:rPr>
          <w:sz w:val="28"/>
          <w:szCs w:val="28"/>
          <w:lang w:val="vi-VN"/>
        </w:rPr>
        <w:t>uyết định danh mục các mô hình thực hiện thí điểm.</w:t>
      </w:r>
    </w:p>
    <w:p w:rsidR="00706D78" w:rsidRPr="001235E8" w:rsidRDefault="00706D78" w:rsidP="0043219E">
      <w:pPr>
        <w:widowControl w:val="0"/>
        <w:spacing w:before="120" w:after="120" w:line="250" w:lineRule="auto"/>
        <w:ind w:firstLine="567"/>
        <w:jc w:val="both"/>
        <w:rPr>
          <w:sz w:val="28"/>
          <w:szCs w:val="28"/>
          <w:lang w:val="vi-VN"/>
        </w:rPr>
      </w:pPr>
      <w:r w:rsidRPr="001235E8">
        <w:rPr>
          <w:sz w:val="28"/>
          <w:szCs w:val="28"/>
        </w:rPr>
        <w:t xml:space="preserve">2. </w:t>
      </w:r>
      <w:r w:rsidRPr="001235E8">
        <w:rPr>
          <w:sz w:val="28"/>
          <w:szCs w:val="28"/>
          <w:lang w:val="vi-VN"/>
        </w:rPr>
        <w:t>Tổ chức thực hiện nghị quyết thí điểm; bảo đảm sự phối hợp giữa các cơ quan, tổ chức, cá nhân liên quan; kịp thời xử lý hoặc kiến nghị xử lý các vấn đề phát sinh trong quá trình thực hiện;</w:t>
      </w:r>
    </w:p>
    <w:p w:rsidR="00706D78" w:rsidRPr="001235E8" w:rsidRDefault="00706D78" w:rsidP="0043219E">
      <w:pPr>
        <w:widowControl w:val="0"/>
        <w:spacing w:before="120" w:after="120" w:line="250" w:lineRule="auto"/>
        <w:ind w:firstLine="567"/>
        <w:jc w:val="both"/>
        <w:rPr>
          <w:sz w:val="28"/>
          <w:szCs w:val="28"/>
          <w:lang w:val="vi-VN"/>
        </w:rPr>
      </w:pPr>
      <w:r w:rsidRPr="001235E8">
        <w:rPr>
          <w:sz w:val="28"/>
          <w:szCs w:val="28"/>
        </w:rPr>
        <w:t xml:space="preserve">3. </w:t>
      </w:r>
      <w:r w:rsidRPr="001235E8">
        <w:rPr>
          <w:sz w:val="28"/>
          <w:szCs w:val="28"/>
          <w:lang w:val="vi-VN"/>
        </w:rPr>
        <w:t>Báo cáo định kỳ kết quả tổ chức thực hiện Nghị quyết tại kỳ họp thường lệ của Hội đồng nhân dân Thành phố hoặc theo yêu cầu của Hội đồng nhân dân Thành phố và cơ quan có thẩm quyền về tình hình, kết quả thí điểm;</w:t>
      </w:r>
    </w:p>
    <w:p w:rsidR="00706D78" w:rsidRPr="001235E8" w:rsidRDefault="00706D78" w:rsidP="0043219E">
      <w:pPr>
        <w:widowControl w:val="0"/>
        <w:spacing w:before="120" w:after="120" w:line="250" w:lineRule="auto"/>
        <w:ind w:firstLine="567"/>
        <w:jc w:val="both"/>
        <w:rPr>
          <w:sz w:val="28"/>
          <w:szCs w:val="28"/>
          <w:lang w:val="vi-VN"/>
        </w:rPr>
      </w:pPr>
      <w:r w:rsidRPr="001235E8">
        <w:rPr>
          <w:sz w:val="28"/>
          <w:szCs w:val="28"/>
        </w:rPr>
        <w:t>4. Tổ</w:t>
      </w:r>
      <w:r w:rsidRPr="001235E8">
        <w:rPr>
          <w:sz w:val="28"/>
          <w:szCs w:val="28"/>
          <w:lang w:val="vi-VN"/>
        </w:rPr>
        <w:t xml:space="preserve"> chức đánh giá kết quả thực hiện thí điểm, xác định mức độ hoàn thành mục tiêu, hiệu quả, tác động đối với phát triển Thủ đô và vùng Thủ đô; trình hoặc kiến nghị cơ quan có thẩm quyền sửa đổi, bổ sung, ban hành mới văn bản quy phạm pháp luật để thực hiện chính thức hoặc bãi bỏ văn bản quy phạm pháp luật thí điểm.</w:t>
      </w:r>
    </w:p>
    <w:bookmarkEnd w:id="8"/>
    <w:p w:rsidR="005B344D" w:rsidRPr="001235E8" w:rsidRDefault="005B4D3A" w:rsidP="0043219E">
      <w:pPr>
        <w:pStyle w:val="NormalWeb"/>
        <w:shd w:val="clear" w:color="auto" w:fill="FFFFFF"/>
        <w:spacing w:before="80" w:after="0" w:line="250" w:lineRule="auto"/>
        <w:ind w:firstLine="567"/>
        <w:jc w:val="both"/>
        <w:rPr>
          <w:sz w:val="28"/>
          <w:szCs w:val="28"/>
          <w:lang w:val="vi-VN" w:eastAsia="en-US"/>
        </w:rPr>
      </w:pPr>
      <w:r w:rsidRPr="001235E8">
        <w:rPr>
          <w:b/>
          <w:bCs/>
          <w:sz w:val="28"/>
          <w:szCs w:val="28"/>
          <w:lang w:val="vi-VN" w:eastAsia="en-US"/>
        </w:rPr>
        <w:t>Điều 1</w:t>
      </w:r>
      <w:r w:rsidR="00DE2CE7" w:rsidRPr="001235E8">
        <w:rPr>
          <w:b/>
          <w:bCs/>
          <w:sz w:val="28"/>
          <w:szCs w:val="28"/>
          <w:lang w:val="en-US" w:eastAsia="en-US"/>
        </w:rPr>
        <w:t>6</w:t>
      </w:r>
      <w:r w:rsidRPr="001235E8">
        <w:rPr>
          <w:b/>
          <w:bCs/>
          <w:sz w:val="28"/>
          <w:szCs w:val="28"/>
          <w:lang w:val="vi-VN" w:eastAsia="en-US"/>
        </w:rPr>
        <w:t>.</w:t>
      </w:r>
      <w:r w:rsidRPr="001235E8">
        <w:rPr>
          <w:sz w:val="28"/>
          <w:szCs w:val="28"/>
          <w:lang w:val="vi-VN" w:eastAsia="en-US"/>
        </w:rPr>
        <w:t> </w:t>
      </w:r>
      <w:r w:rsidRPr="001235E8">
        <w:rPr>
          <w:b/>
          <w:bCs/>
          <w:sz w:val="28"/>
          <w:szCs w:val="28"/>
          <w:lang w:val="vi-VN" w:eastAsia="en-US"/>
        </w:rPr>
        <w:t>Tổ chức thực hiện</w:t>
      </w:r>
    </w:p>
    <w:p w:rsidR="005B344D" w:rsidRPr="001235E8" w:rsidRDefault="005B4D3A" w:rsidP="0043219E">
      <w:pPr>
        <w:pStyle w:val="NormalWeb"/>
        <w:shd w:val="clear" w:color="auto" w:fill="FFFFFF"/>
        <w:spacing w:before="80" w:after="0" w:line="250" w:lineRule="auto"/>
        <w:ind w:firstLine="567"/>
        <w:jc w:val="both"/>
        <w:rPr>
          <w:sz w:val="28"/>
          <w:szCs w:val="28"/>
          <w:lang w:val="vi-VN" w:eastAsia="en-US"/>
        </w:rPr>
      </w:pPr>
      <w:r w:rsidRPr="001235E8">
        <w:rPr>
          <w:sz w:val="28"/>
          <w:szCs w:val="28"/>
          <w:lang w:val="vi-VN" w:eastAsia="en-US"/>
        </w:rPr>
        <w:t>1. Giao Ủy ban nhân dân Thành phố chỉ đạo, tổ chức thực hiện Quy định tại Nghị quyết này.</w:t>
      </w:r>
    </w:p>
    <w:p w:rsidR="005B344D" w:rsidRPr="001235E8" w:rsidRDefault="005B4D3A" w:rsidP="0043219E">
      <w:pPr>
        <w:pStyle w:val="NormalWeb"/>
        <w:shd w:val="clear" w:color="auto" w:fill="FFFFFF"/>
        <w:spacing w:before="80" w:after="0" w:line="250" w:lineRule="auto"/>
        <w:ind w:firstLine="567"/>
        <w:jc w:val="both"/>
        <w:rPr>
          <w:sz w:val="28"/>
          <w:szCs w:val="28"/>
          <w:lang w:val="vi-VN" w:eastAsia="en-US"/>
        </w:rPr>
      </w:pPr>
      <w:r w:rsidRPr="001235E8">
        <w:rPr>
          <w:sz w:val="28"/>
          <w:szCs w:val="28"/>
          <w:lang w:val="vi-VN" w:eastAsia="en-US"/>
        </w:rPr>
        <w:t>2. Giao Thường trực Hội đồng nhân dân, các Ban Hội đồng nhân dân, các tổ đại biểu và đại biểu Hội đồng nhân dân Thành phố giám sát việc thực hiện Nghị quyết này.</w:t>
      </w:r>
    </w:p>
    <w:p w:rsidR="005B344D" w:rsidRPr="001235E8" w:rsidRDefault="005B4D3A" w:rsidP="0043219E">
      <w:pPr>
        <w:pStyle w:val="NormalWeb"/>
        <w:shd w:val="clear" w:color="auto" w:fill="FFFFFF"/>
        <w:spacing w:before="80" w:after="0" w:line="250" w:lineRule="auto"/>
        <w:ind w:firstLine="567"/>
        <w:jc w:val="both"/>
        <w:rPr>
          <w:sz w:val="28"/>
          <w:szCs w:val="28"/>
          <w:lang w:val="vi-VN" w:eastAsia="en-US"/>
        </w:rPr>
      </w:pPr>
      <w:r w:rsidRPr="001235E8">
        <w:rPr>
          <w:sz w:val="28"/>
          <w:szCs w:val="28"/>
          <w:lang w:val="vi-VN" w:eastAsia="en-US"/>
        </w:rPr>
        <w:t>3. Đề nghị Cơ quan Ủy ban Mặt trận tổ quốc Việt Nam thành phố Hà Nội và các tổ chức chính trị - xã hội phối hợp tuyên truyền và tham gia giám sát thực hiện Nghị quyết.</w:t>
      </w:r>
    </w:p>
    <w:p w:rsidR="005B344D" w:rsidRPr="001235E8" w:rsidRDefault="00DE2CE7" w:rsidP="0043219E">
      <w:pPr>
        <w:pStyle w:val="NormalWeb"/>
        <w:shd w:val="clear" w:color="auto" w:fill="FFFFFF"/>
        <w:spacing w:before="120" w:after="0" w:line="250" w:lineRule="auto"/>
        <w:ind w:firstLine="567"/>
        <w:jc w:val="both"/>
        <w:rPr>
          <w:b/>
          <w:bCs/>
          <w:sz w:val="28"/>
          <w:szCs w:val="28"/>
          <w:lang w:val="vi-VN" w:eastAsia="en-US"/>
        </w:rPr>
      </w:pPr>
      <w:r w:rsidRPr="001235E8">
        <w:rPr>
          <w:b/>
          <w:bCs/>
          <w:sz w:val="28"/>
          <w:szCs w:val="28"/>
          <w:lang w:val="vi-VN" w:eastAsia="en-US"/>
        </w:rPr>
        <w:t>Điều 17</w:t>
      </w:r>
      <w:r w:rsidR="005B4D3A" w:rsidRPr="001235E8">
        <w:rPr>
          <w:b/>
          <w:bCs/>
          <w:sz w:val="28"/>
          <w:szCs w:val="28"/>
          <w:lang w:val="vi-VN" w:eastAsia="en-US"/>
        </w:rPr>
        <w:t>. Hiệu lực thi hành</w:t>
      </w:r>
    </w:p>
    <w:p w:rsidR="005B344D" w:rsidRPr="001235E8" w:rsidRDefault="005B4D3A" w:rsidP="0043219E">
      <w:pPr>
        <w:pStyle w:val="NormalWeb"/>
        <w:shd w:val="clear" w:color="auto" w:fill="FFFFFF"/>
        <w:spacing w:before="120" w:after="0" w:line="250" w:lineRule="auto"/>
        <w:ind w:firstLine="567"/>
        <w:jc w:val="both"/>
        <w:rPr>
          <w:sz w:val="28"/>
          <w:szCs w:val="28"/>
          <w:lang w:val="vi-VN"/>
        </w:rPr>
      </w:pPr>
      <w:r w:rsidRPr="001235E8">
        <w:rPr>
          <w:sz w:val="28"/>
          <w:szCs w:val="28"/>
          <w:lang w:val="vi-VN"/>
        </w:rPr>
        <w:t xml:space="preserve">Nghị quyết này có hiệu lực từ ngày    tháng    năm 2026. </w:t>
      </w:r>
    </w:p>
    <w:p w:rsidR="005B344D" w:rsidRPr="001235E8" w:rsidRDefault="005B4D3A" w:rsidP="0043219E">
      <w:pPr>
        <w:pStyle w:val="NormalWeb"/>
        <w:shd w:val="clear" w:color="auto" w:fill="FFFFFF"/>
        <w:spacing w:before="120" w:after="0" w:line="250" w:lineRule="auto"/>
        <w:ind w:firstLine="567"/>
        <w:jc w:val="both"/>
        <w:rPr>
          <w:sz w:val="28"/>
          <w:szCs w:val="28"/>
          <w:lang w:val="vi-VN"/>
        </w:rPr>
      </w:pPr>
      <w:r w:rsidRPr="001235E8">
        <w:rPr>
          <w:sz w:val="28"/>
          <w:szCs w:val="28"/>
          <w:lang w:val="vi-VN"/>
        </w:rPr>
        <w:t>Trong quá trình tổ chức thực hiện, nếu có vướng mắc, các đơn vị phản ánh về Sở Nông nghiệp và Môi trường để tổng hợp, đề xuất, báo cáo Ủy ban nhân dân Thành phố, trình Hội đồng nhân dân Thành phố xem xét, quyết định.</w:t>
      </w:r>
    </w:p>
    <w:p w:rsidR="005B344D" w:rsidRPr="001235E8" w:rsidRDefault="005B4D3A" w:rsidP="00972FFE">
      <w:pPr>
        <w:pStyle w:val="NormalWeb"/>
        <w:shd w:val="clear" w:color="auto" w:fill="FFFFFF"/>
        <w:spacing w:before="120" w:after="0"/>
        <w:ind w:firstLine="567"/>
        <w:jc w:val="both"/>
        <w:rPr>
          <w:i/>
          <w:iCs/>
          <w:sz w:val="28"/>
          <w:szCs w:val="28"/>
          <w:lang w:val="vi-VN" w:eastAsia="en-US"/>
        </w:rPr>
      </w:pPr>
      <w:r w:rsidRPr="001235E8">
        <w:rPr>
          <w:i/>
          <w:iCs/>
          <w:sz w:val="28"/>
          <w:szCs w:val="28"/>
          <w:lang w:val="vi-VN" w:eastAsia="en-US"/>
        </w:rPr>
        <w:lastRenderedPageBreak/>
        <w:t xml:space="preserve">Nghị quyết này đã được Hội đồng nhân dân thành phố Hà Nội khóa XVII, kỳ họp thứ … thông qua ngày … tháng … năm 2026./. </w:t>
      </w:r>
    </w:p>
    <w:p w:rsidR="005B344D" w:rsidRPr="001235E8" w:rsidRDefault="005B344D" w:rsidP="00972FFE">
      <w:pPr>
        <w:pStyle w:val="NormalWeb"/>
        <w:shd w:val="clear" w:color="auto" w:fill="FFFFFF"/>
        <w:spacing w:before="120" w:after="0"/>
        <w:ind w:firstLine="709"/>
        <w:jc w:val="both"/>
        <w:rPr>
          <w:i/>
          <w:iCs/>
          <w:sz w:val="28"/>
          <w:szCs w:val="28"/>
          <w:lang w:val="vi-VN" w:eastAsia="en-US"/>
        </w:rPr>
      </w:pPr>
    </w:p>
    <w:tbl>
      <w:tblPr>
        <w:tblW w:w="5095" w:type="pct"/>
        <w:tblInd w:w="-108" w:type="dxa"/>
        <w:tblCellMar>
          <w:left w:w="0" w:type="dxa"/>
          <w:right w:w="0" w:type="dxa"/>
        </w:tblCellMar>
        <w:tblLook w:val="04A0" w:firstRow="1" w:lastRow="0" w:firstColumn="1" w:lastColumn="0" w:noHBand="0" w:noVBand="1"/>
      </w:tblPr>
      <w:tblGrid>
        <w:gridCol w:w="9245"/>
      </w:tblGrid>
      <w:tr w:rsidR="001235E8" w:rsidRPr="001235E8">
        <w:tc>
          <w:tcPr>
            <w:tcW w:w="9245" w:type="dxa"/>
          </w:tcPr>
          <w:tbl>
            <w:tblPr>
              <w:tblW w:w="9245" w:type="dxa"/>
              <w:tblBorders>
                <w:top w:val="nil"/>
                <w:left w:val="nil"/>
                <w:bottom w:val="nil"/>
                <w:right w:val="nil"/>
                <w:insideH w:val="nil"/>
                <w:insideV w:val="nil"/>
              </w:tblBorders>
              <w:tblLook w:val="0000" w:firstRow="0" w:lastRow="0" w:firstColumn="0" w:lastColumn="0" w:noHBand="0" w:noVBand="0"/>
            </w:tblPr>
            <w:tblGrid>
              <w:gridCol w:w="4845"/>
              <w:gridCol w:w="4400"/>
            </w:tblGrid>
            <w:tr w:rsidR="001235E8" w:rsidRPr="001235E8">
              <w:tc>
                <w:tcPr>
                  <w:tcW w:w="4845" w:type="dxa"/>
                  <w:tcBorders>
                    <w:top w:val="nil"/>
                    <w:left w:val="nil"/>
                    <w:bottom w:val="nil"/>
                    <w:right w:val="nil"/>
                  </w:tcBorders>
                  <w:tcMar>
                    <w:top w:w="0" w:type="dxa"/>
                    <w:left w:w="108" w:type="dxa"/>
                    <w:bottom w:w="0" w:type="dxa"/>
                    <w:right w:w="108" w:type="dxa"/>
                  </w:tcMar>
                </w:tcPr>
                <w:p w:rsidR="005B344D" w:rsidRPr="001235E8" w:rsidRDefault="005B4D3A" w:rsidP="00972FFE">
                  <w:pPr>
                    <w:widowControl w:val="0"/>
                    <w:rPr>
                      <w:sz w:val="22"/>
                      <w:szCs w:val="22"/>
                      <w:lang w:val="vi-VN"/>
                    </w:rPr>
                  </w:pPr>
                  <w:r w:rsidRPr="001235E8">
                    <w:rPr>
                      <w:b/>
                      <w:i/>
                      <w:szCs w:val="20"/>
                      <w:lang w:val="vi-VN"/>
                    </w:rPr>
                    <w:t>Nơi nhận:</w:t>
                  </w:r>
                  <w:r w:rsidRPr="001235E8">
                    <w:rPr>
                      <w:b/>
                      <w:i/>
                      <w:szCs w:val="20"/>
                      <w:lang w:val="vi-VN"/>
                    </w:rPr>
                    <w:br/>
                  </w:r>
                  <w:r w:rsidRPr="001235E8">
                    <w:rPr>
                      <w:sz w:val="22"/>
                      <w:szCs w:val="22"/>
                      <w:lang w:val="vi-VN"/>
                    </w:rPr>
                    <w:t>- Ủy ban Thường vụ Quốc hội;</w:t>
                  </w:r>
                  <w:r w:rsidRPr="001235E8">
                    <w:rPr>
                      <w:sz w:val="22"/>
                      <w:szCs w:val="22"/>
                      <w:lang w:val="vi-VN"/>
                    </w:rPr>
                    <w:br/>
                    <w:t>- Chính phủ;</w:t>
                  </w:r>
                  <w:r w:rsidRPr="001235E8">
                    <w:rPr>
                      <w:sz w:val="22"/>
                      <w:szCs w:val="22"/>
                      <w:lang w:val="vi-VN"/>
                    </w:rPr>
                    <w:br/>
                    <w:t>- Các Bộ: Tư pháp, Tài chính;</w:t>
                  </w:r>
                  <w:r w:rsidRPr="001235E8">
                    <w:rPr>
                      <w:sz w:val="22"/>
                      <w:szCs w:val="22"/>
                      <w:lang w:val="vi-VN"/>
                    </w:rPr>
                    <w:br/>
                    <w:t>- Đoàn Đại biểu Quốc hội Hà Nội;</w:t>
                  </w:r>
                  <w:r w:rsidRPr="001235E8">
                    <w:rPr>
                      <w:sz w:val="22"/>
                      <w:szCs w:val="22"/>
                      <w:lang w:val="vi-VN"/>
                    </w:rPr>
                    <w:br/>
                    <w:t>- Thường trực Thành ủy;</w:t>
                  </w:r>
                  <w:r w:rsidRPr="001235E8">
                    <w:rPr>
                      <w:sz w:val="22"/>
                      <w:szCs w:val="22"/>
                      <w:lang w:val="vi-VN"/>
                    </w:rPr>
                    <w:br/>
                    <w:t>- Thường trực HĐND, UBND, UB MTTQ TP;</w:t>
                  </w:r>
                  <w:r w:rsidRPr="001235E8">
                    <w:rPr>
                      <w:sz w:val="22"/>
                      <w:szCs w:val="22"/>
                      <w:lang w:val="vi-VN"/>
                    </w:rPr>
                    <w:br/>
                    <w:t>- Các Ban Đảng Thành ủy;</w:t>
                  </w:r>
                  <w:r w:rsidRPr="001235E8">
                    <w:rPr>
                      <w:sz w:val="22"/>
                      <w:szCs w:val="22"/>
                      <w:lang w:val="vi-VN"/>
                    </w:rPr>
                    <w:br/>
                    <w:t>- Các Ban HĐND Thành phố ;</w:t>
                  </w:r>
                  <w:r w:rsidRPr="001235E8">
                    <w:rPr>
                      <w:sz w:val="22"/>
                      <w:szCs w:val="22"/>
                      <w:lang w:val="vi-VN"/>
                    </w:rPr>
                    <w:br/>
                    <w:t>- Các vị Đại biểu HĐND Thành phố;</w:t>
                  </w:r>
                  <w:r w:rsidRPr="001235E8">
                    <w:rPr>
                      <w:sz w:val="22"/>
                      <w:szCs w:val="22"/>
                      <w:lang w:val="vi-VN"/>
                    </w:rPr>
                    <w:br/>
                    <w:t>- Các Văn phòng: Thành ủy; Đoàn ĐBQH và HĐND TP, UBND TP;</w:t>
                  </w:r>
                </w:p>
                <w:p w:rsidR="005B344D" w:rsidRPr="001235E8" w:rsidRDefault="005B4D3A" w:rsidP="00972FFE">
                  <w:pPr>
                    <w:widowControl w:val="0"/>
                    <w:rPr>
                      <w:sz w:val="22"/>
                      <w:szCs w:val="22"/>
                      <w:lang w:val="vi-VN"/>
                    </w:rPr>
                  </w:pPr>
                  <w:r w:rsidRPr="001235E8">
                    <w:rPr>
                      <w:sz w:val="22"/>
                      <w:szCs w:val="22"/>
                      <w:lang w:val="vi-VN"/>
                    </w:rPr>
                    <w:t>- Cục KTVB và QLXLVPHC - Bộ Tư pháp;</w:t>
                  </w:r>
                  <w:r w:rsidRPr="001235E8">
                    <w:rPr>
                      <w:sz w:val="22"/>
                      <w:szCs w:val="22"/>
                      <w:lang w:val="vi-VN"/>
                    </w:rPr>
                    <w:br/>
                    <w:t>- Các sở, ban, ngành Thành phố;</w:t>
                  </w:r>
                </w:p>
                <w:p w:rsidR="005B344D" w:rsidRPr="001235E8" w:rsidRDefault="005B4D3A" w:rsidP="00972FFE">
                  <w:pPr>
                    <w:widowControl w:val="0"/>
                    <w:rPr>
                      <w:lang w:val="vi-VN"/>
                    </w:rPr>
                  </w:pPr>
                  <w:r w:rsidRPr="001235E8">
                    <w:rPr>
                      <w:sz w:val="22"/>
                      <w:szCs w:val="22"/>
                      <w:lang w:val="vi-VN"/>
                    </w:rPr>
                    <w:t>- HĐND, UBND cấp xã;</w:t>
                  </w:r>
                  <w:r w:rsidRPr="001235E8">
                    <w:rPr>
                      <w:sz w:val="22"/>
                      <w:szCs w:val="22"/>
                      <w:lang w:val="vi-VN"/>
                    </w:rPr>
                    <w:br/>
                    <w:t>- Công báo TP, Cổng TTĐT TP;</w:t>
                  </w:r>
                  <w:r w:rsidRPr="001235E8">
                    <w:rPr>
                      <w:sz w:val="22"/>
                      <w:szCs w:val="22"/>
                      <w:lang w:val="vi-VN"/>
                    </w:rPr>
                    <w:br/>
                    <w:t>- Lưu: VT.</w:t>
                  </w:r>
                </w:p>
              </w:tc>
              <w:tc>
                <w:tcPr>
                  <w:tcW w:w="4400" w:type="dxa"/>
                  <w:tcBorders>
                    <w:top w:val="nil"/>
                    <w:left w:val="nil"/>
                    <w:bottom w:val="nil"/>
                    <w:right w:val="nil"/>
                  </w:tcBorders>
                  <w:tcMar>
                    <w:top w:w="0" w:type="dxa"/>
                    <w:left w:w="108" w:type="dxa"/>
                    <w:bottom w:w="0" w:type="dxa"/>
                    <w:right w:w="108" w:type="dxa"/>
                  </w:tcMar>
                </w:tcPr>
                <w:p w:rsidR="005B344D" w:rsidRPr="001235E8" w:rsidRDefault="005B4D3A" w:rsidP="00972FFE">
                  <w:pPr>
                    <w:widowControl w:val="0"/>
                    <w:ind w:left="1" w:hanging="3"/>
                    <w:jc w:val="center"/>
                    <w:rPr>
                      <w:b/>
                      <w:sz w:val="28"/>
                      <w:szCs w:val="28"/>
                      <w:lang w:val="vi-VN"/>
                    </w:rPr>
                  </w:pPr>
                  <w:r w:rsidRPr="001235E8">
                    <w:rPr>
                      <w:b/>
                      <w:sz w:val="28"/>
                      <w:szCs w:val="28"/>
                      <w:lang w:val="vi-VN"/>
                    </w:rPr>
                    <w:t>CHỦ TỊCH</w:t>
                  </w:r>
                </w:p>
                <w:p w:rsidR="005B344D" w:rsidRPr="001235E8" w:rsidRDefault="005B344D" w:rsidP="00972FFE">
                  <w:pPr>
                    <w:widowControl w:val="0"/>
                    <w:rPr>
                      <w:b/>
                      <w:sz w:val="28"/>
                      <w:szCs w:val="28"/>
                      <w:lang w:val="vi-VN"/>
                    </w:rPr>
                  </w:pPr>
                </w:p>
                <w:p w:rsidR="005B344D" w:rsidRPr="001235E8" w:rsidRDefault="005B344D" w:rsidP="00972FFE">
                  <w:pPr>
                    <w:widowControl w:val="0"/>
                    <w:ind w:left="1" w:hanging="3"/>
                    <w:jc w:val="center"/>
                    <w:rPr>
                      <w:b/>
                      <w:sz w:val="28"/>
                      <w:szCs w:val="28"/>
                      <w:lang w:val="vi-VN"/>
                    </w:rPr>
                  </w:pPr>
                </w:p>
                <w:p w:rsidR="005B344D" w:rsidRPr="001235E8" w:rsidRDefault="005B344D" w:rsidP="00972FFE">
                  <w:pPr>
                    <w:widowControl w:val="0"/>
                    <w:ind w:left="1" w:hanging="3"/>
                    <w:jc w:val="center"/>
                    <w:rPr>
                      <w:b/>
                      <w:sz w:val="28"/>
                      <w:szCs w:val="28"/>
                      <w:lang w:val="vi-VN"/>
                    </w:rPr>
                  </w:pPr>
                </w:p>
                <w:p w:rsidR="005B344D" w:rsidRPr="001235E8" w:rsidRDefault="005B344D" w:rsidP="00972FFE">
                  <w:pPr>
                    <w:widowControl w:val="0"/>
                    <w:ind w:left="1" w:hanging="3"/>
                    <w:jc w:val="center"/>
                    <w:rPr>
                      <w:b/>
                      <w:sz w:val="28"/>
                      <w:szCs w:val="28"/>
                      <w:lang w:val="vi-VN"/>
                    </w:rPr>
                  </w:pPr>
                </w:p>
                <w:p w:rsidR="005B344D" w:rsidRPr="001235E8" w:rsidRDefault="005B4D3A" w:rsidP="00972FFE">
                  <w:pPr>
                    <w:widowControl w:val="0"/>
                    <w:ind w:left="1" w:hanging="3"/>
                    <w:jc w:val="center"/>
                    <w:rPr>
                      <w:szCs w:val="28"/>
                      <w:lang w:val="vi-VN"/>
                    </w:rPr>
                  </w:pPr>
                  <w:r w:rsidRPr="001235E8">
                    <w:rPr>
                      <w:b/>
                      <w:sz w:val="28"/>
                      <w:szCs w:val="28"/>
                      <w:lang w:val="vi-VN"/>
                    </w:rPr>
                    <w:t>Phùng Thị Hồng Hà</w:t>
                  </w:r>
                  <w:r w:rsidRPr="001235E8">
                    <w:rPr>
                      <w:b/>
                      <w:szCs w:val="28"/>
                      <w:lang w:val="vi-VN"/>
                    </w:rPr>
                    <w:br/>
                  </w:r>
                </w:p>
                <w:p w:rsidR="005B344D" w:rsidRPr="001235E8" w:rsidRDefault="005B344D" w:rsidP="00972FFE">
                  <w:pPr>
                    <w:widowControl w:val="0"/>
                    <w:ind w:left="1" w:hanging="3"/>
                    <w:jc w:val="center"/>
                    <w:rPr>
                      <w:lang w:val="vi-VN"/>
                    </w:rPr>
                  </w:pPr>
                </w:p>
              </w:tc>
            </w:tr>
          </w:tbl>
          <w:p w:rsidR="005B344D" w:rsidRPr="001235E8" w:rsidRDefault="005B344D" w:rsidP="00972FFE">
            <w:pPr>
              <w:ind w:firstLine="142"/>
              <w:rPr>
                <w:lang w:val="vi-VN"/>
              </w:rPr>
            </w:pPr>
          </w:p>
        </w:tc>
      </w:tr>
      <w:bookmarkEnd w:id="1"/>
    </w:tbl>
    <w:p w:rsidR="005B344D" w:rsidRPr="001235E8" w:rsidRDefault="005B344D" w:rsidP="00972FFE">
      <w:pPr>
        <w:rPr>
          <w:vanish/>
          <w:lang w:val="vi-VN"/>
        </w:rPr>
      </w:pPr>
    </w:p>
    <w:p w:rsidR="003D6E48" w:rsidRPr="001235E8" w:rsidRDefault="003D6E48" w:rsidP="00972FFE">
      <w:pPr>
        <w:rPr>
          <w:vanish/>
          <w:lang w:val="vi-VN"/>
        </w:rPr>
      </w:pPr>
    </w:p>
    <w:sectPr w:rsidR="003D6E48" w:rsidRPr="001235E8" w:rsidSect="00EA7B66">
      <w:headerReference w:type="default" r:id="rId8"/>
      <w:footerReference w:type="even" r:id="rId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CF7" w:rsidRDefault="00AE1CF7">
      <w:r>
        <w:separator/>
      </w:r>
    </w:p>
  </w:endnote>
  <w:endnote w:type="continuationSeparator" w:id="0">
    <w:p w:rsidR="00AE1CF7" w:rsidRDefault="00AE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ClarendonH">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NewRomanPSMT">
    <w:altName w:val="SimSun"/>
    <w:panose1 w:val="00000000000000000000"/>
    <w:charset w:val="86"/>
    <w:family w:val="auto"/>
    <w:notTrueType/>
    <w:pitch w:val="default"/>
    <w:sig w:usb0="00000000" w:usb1="080E0000" w:usb2="00000010" w:usb3="00000000" w:csb0="00040000" w:csb1="00000000"/>
  </w:font>
  <w:font w:name=".VnTime">
    <w:altName w:val="Courier New"/>
    <w:charset w:val="00"/>
    <w:family w:val="swiss"/>
    <w:pitch w:val="variable"/>
    <w:sig w:usb0="00000003" w:usb1="00000000" w:usb2="00000000" w:usb3="00000000" w:csb0="0000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44D" w:rsidRDefault="005B4D3A">
    <w:pPr>
      <w:pStyle w:val="Footer"/>
      <w:framePr w:wrap="around" w:vAnchor="text" w:hAnchor="margin" w:xAlign="center" w:y="1"/>
      <w:rPr>
        <w:rStyle w:val="PageNumber"/>
        <w:rFonts w:eastAsiaTheme="majorEastAsia"/>
      </w:rPr>
    </w:pPr>
    <w:r>
      <w:fldChar w:fldCharType="begin"/>
    </w:r>
    <w:r>
      <w:instrText xml:space="preserve">PAGE  </w:instrText>
    </w:r>
    <w:r>
      <w:fldChar w:fldCharType="end"/>
    </w:r>
  </w:p>
  <w:p w:rsidR="005B344D" w:rsidRDefault="005B34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CF7" w:rsidRDefault="00AE1CF7">
      <w:r>
        <w:separator/>
      </w:r>
    </w:p>
  </w:footnote>
  <w:footnote w:type="continuationSeparator" w:id="0">
    <w:p w:rsidR="00AE1CF7" w:rsidRDefault="00AE1C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44D" w:rsidRDefault="005B4D3A">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C553D1">
      <w:rPr>
        <w:noProof/>
        <w:sz w:val="26"/>
        <w:szCs w:val="26"/>
      </w:rPr>
      <w:t>7</w:t>
    </w:r>
    <w:r>
      <w:rPr>
        <w:sz w:val="26"/>
        <w:szCs w:val="26"/>
      </w:rPr>
      <w:fldChar w:fldCharType="end"/>
    </w:r>
  </w:p>
  <w:p w:rsidR="005B344D" w:rsidRDefault="005B34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0BFB"/>
    <w:multiLevelType w:val="hybridMultilevel"/>
    <w:tmpl w:val="A512160A"/>
    <w:lvl w:ilvl="0" w:tplc="F89C0682">
      <w:start w:val="1"/>
      <w:numFmt w:val="decimal"/>
      <w:lvlText w:val="%1."/>
      <w:lvlJc w:val="left"/>
      <w:pPr>
        <w:ind w:left="927" w:hanging="360"/>
      </w:pPr>
      <w:rPr>
        <w:rFonts w:hint="default"/>
      </w:rPr>
    </w:lvl>
    <w:lvl w:ilvl="1" w:tplc="106408BA" w:tentative="1">
      <w:start w:val="1"/>
      <w:numFmt w:val="lowerLetter"/>
      <w:lvlText w:val="%2."/>
      <w:lvlJc w:val="left"/>
      <w:pPr>
        <w:ind w:left="1647" w:hanging="360"/>
      </w:pPr>
    </w:lvl>
    <w:lvl w:ilvl="2" w:tplc="0E98504A" w:tentative="1">
      <w:start w:val="1"/>
      <w:numFmt w:val="lowerRoman"/>
      <w:lvlText w:val="%3."/>
      <w:lvlJc w:val="right"/>
      <w:pPr>
        <w:ind w:left="2367" w:hanging="180"/>
      </w:pPr>
    </w:lvl>
    <w:lvl w:ilvl="3" w:tplc="969AFFD8" w:tentative="1">
      <w:start w:val="1"/>
      <w:numFmt w:val="decimal"/>
      <w:lvlText w:val="%4."/>
      <w:lvlJc w:val="left"/>
      <w:pPr>
        <w:ind w:left="3087" w:hanging="360"/>
      </w:pPr>
    </w:lvl>
    <w:lvl w:ilvl="4" w:tplc="86CEEFC6" w:tentative="1">
      <w:start w:val="1"/>
      <w:numFmt w:val="lowerLetter"/>
      <w:lvlText w:val="%5."/>
      <w:lvlJc w:val="left"/>
      <w:pPr>
        <w:ind w:left="3807" w:hanging="360"/>
      </w:pPr>
    </w:lvl>
    <w:lvl w:ilvl="5" w:tplc="0FF6B2FA" w:tentative="1">
      <w:start w:val="1"/>
      <w:numFmt w:val="lowerRoman"/>
      <w:lvlText w:val="%6."/>
      <w:lvlJc w:val="right"/>
      <w:pPr>
        <w:ind w:left="4527" w:hanging="180"/>
      </w:pPr>
    </w:lvl>
    <w:lvl w:ilvl="6" w:tplc="9A4013F6" w:tentative="1">
      <w:start w:val="1"/>
      <w:numFmt w:val="decimal"/>
      <w:lvlText w:val="%7."/>
      <w:lvlJc w:val="left"/>
      <w:pPr>
        <w:ind w:left="5247" w:hanging="360"/>
      </w:pPr>
    </w:lvl>
    <w:lvl w:ilvl="7" w:tplc="30B281D8" w:tentative="1">
      <w:start w:val="1"/>
      <w:numFmt w:val="lowerLetter"/>
      <w:lvlText w:val="%8."/>
      <w:lvlJc w:val="left"/>
      <w:pPr>
        <w:ind w:left="5967" w:hanging="360"/>
      </w:pPr>
    </w:lvl>
    <w:lvl w:ilvl="8" w:tplc="AE94DE58" w:tentative="1">
      <w:start w:val="1"/>
      <w:numFmt w:val="lowerRoman"/>
      <w:lvlText w:val="%9."/>
      <w:lvlJc w:val="right"/>
      <w:pPr>
        <w:ind w:left="6687" w:hanging="180"/>
      </w:pPr>
    </w:lvl>
  </w:abstractNum>
  <w:abstractNum w:abstractNumId="1" w15:restartNumberingAfterBreak="0">
    <w:nsid w:val="1AE87EE8"/>
    <w:multiLevelType w:val="hybridMultilevel"/>
    <w:tmpl w:val="973ECF40"/>
    <w:lvl w:ilvl="0" w:tplc="F68600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B746EA"/>
    <w:multiLevelType w:val="multilevel"/>
    <w:tmpl w:val="96E2FB4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88E0F7E"/>
    <w:multiLevelType w:val="multilevel"/>
    <w:tmpl w:val="EFAE8E5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BD82AFB"/>
    <w:multiLevelType w:val="multilevel"/>
    <w:tmpl w:val="51A0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A84AAC"/>
    <w:multiLevelType w:val="hybridMultilevel"/>
    <w:tmpl w:val="E952770E"/>
    <w:lvl w:ilvl="0" w:tplc="D2D26696">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FD"/>
    <w:rsid w:val="0000066E"/>
    <w:rsid w:val="00004382"/>
    <w:rsid w:val="000070F1"/>
    <w:rsid w:val="000126FC"/>
    <w:rsid w:val="00014A7E"/>
    <w:rsid w:val="000169E7"/>
    <w:rsid w:val="00017779"/>
    <w:rsid w:val="000223E3"/>
    <w:rsid w:val="00024EC7"/>
    <w:rsid w:val="0002565A"/>
    <w:rsid w:val="000263B3"/>
    <w:rsid w:val="00026530"/>
    <w:rsid w:val="000317E3"/>
    <w:rsid w:val="00032CB6"/>
    <w:rsid w:val="00034004"/>
    <w:rsid w:val="00037961"/>
    <w:rsid w:val="00043079"/>
    <w:rsid w:val="00046237"/>
    <w:rsid w:val="00046D1C"/>
    <w:rsid w:val="00047874"/>
    <w:rsid w:val="00056958"/>
    <w:rsid w:val="00061684"/>
    <w:rsid w:val="00064B41"/>
    <w:rsid w:val="00065CBB"/>
    <w:rsid w:val="00066206"/>
    <w:rsid w:val="000662D2"/>
    <w:rsid w:val="000764EB"/>
    <w:rsid w:val="00085723"/>
    <w:rsid w:val="00087D15"/>
    <w:rsid w:val="00092861"/>
    <w:rsid w:val="00093B31"/>
    <w:rsid w:val="000A094B"/>
    <w:rsid w:val="000A263E"/>
    <w:rsid w:val="000A3EBD"/>
    <w:rsid w:val="000A604F"/>
    <w:rsid w:val="000B12EE"/>
    <w:rsid w:val="000B2A23"/>
    <w:rsid w:val="000B409E"/>
    <w:rsid w:val="000D19C9"/>
    <w:rsid w:val="000E29AF"/>
    <w:rsid w:val="000F29E0"/>
    <w:rsid w:val="00100DDA"/>
    <w:rsid w:val="0010266D"/>
    <w:rsid w:val="001160F3"/>
    <w:rsid w:val="001235E8"/>
    <w:rsid w:val="00123695"/>
    <w:rsid w:val="001328C8"/>
    <w:rsid w:val="00136931"/>
    <w:rsid w:val="00136FD2"/>
    <w:rsid w:val="0014066F"/>
    <w:rsid w:val="00140947"/>
    <w:rsid w:val="0015110A"/>
    <w:rsid w:val="00157CE5"/>
    <w:rsid w:val="001601AB"/>
    <w:rsid w:val="00162D3C"/>
    <w:rsid w:val="001660AB"/>
    <w:rsid w:val="00171A69"/>
    <w:rsid w:val="001742D0"/>
    <w:rsid w:val="001751C0"/>
    <w:rsid w:val="00175CD0"/>
    <w:rsid w:val="00180030"/>
    <w:rsid w:val="0018026A"/>
    <w:rsid w:val="00182C9A"/>
    <w:rsid w:val="00185B07"/>
    <w:rsid w:val="00191CEE"/>
    <w:rsid w:val="00193835"/>
    <w:rsid w:val="001A1171"/>
    <w:rsid w:val="001A3B3C"/>
    <w:rsid w:val="001A73F8"/>
    <w:rsid w:val="001B35C5"/>
    <w:rsid w:val="001C0481"/>
    <w:rsid w:val="001C09CF"/>
    <w:rsid w:val="001C1C08"/>
    <w:rsid w:val="001C47B9"/>
    <w:rsid w:val="001C5A60"/>
    <w:rsid w:val="001D3575"/>
    <w:rsid w:val="001D4F1C"/>
    <w:rsid w:val="001D4FA4"/>
    <w:rsid w:val="001D65AF"/>
    <w:rsid w:val="001E112D"/>
    <w:rsid w:val="001E1570"/>
    <w:rsid w:val="001E43C9"/>
    <w:rsid w:val="00203CF3"/>
    <w:rsid w:val="0020752E"/>
    <w:rsid w:val="00211796"/>
    <w:rsid w:val="0021179C"/>
    <w:rsid w:val="00226F8A"/>
    <w:rsid w:val="00230F33"/>
    <w:rsid w:val="00234B04"/>
    <w:rsid w:val="00247156"/>
    <w:rsid w:val="002542E2"/>
    <w:rsid w:val="002549C8"/>
    <w:rsid w:val="00256A72"/>
    <w:rsid w:val="00260FFF"/>
    <w:rsid w:val="00267EB6"/>
    <w:rsid w:val="00271A16"/>
    <w:rsid w:val="00271B68"/>
    <w:rsid w:val="00277AF5"/>
    <w:rsid w:val="00282446"/>
    <w:rsid w:val="002841D9"/>
    <w:rsid w:val="002947F0"/>
    <w:rsid w:val="00295266"/>
    <w:rsid w:val="002A0862"/>
    <w:rsid w:val="002A3BD2"/>
    <w:rsid w:val="002A6768"/>
    <w:rsid w:val="002B4D27"/>
    <w:rsid w:val="002D249D"/>
    <w:rsid w:val="002E0285"/>
    <w:rsid w:val="002E160E"/>
    <w:rsid w:val="002E4A06"/>
    <w:rsid w:val="002E6F8A"/>
    <w:rsid w:val="002E74D6"/>
    <w:rsid w:val="002F5989"/>
    <w:rsid w:val="002F5E3D"/>
    <w:rsid w:val="002F5F38"/>
    <w:rsid w:val="002F7634"/>
    <w:rsid w:val="003035AC"/>
    <w:rsid w:val="00311319"/>
    <w:rsid w:val="00314A4F"/>
    <w:rsid w:val="00316EF4"/>
    <w:rsid w:val="00334154"/>
    <w:rsid w:val="00334698"/>
    <w:rsid w:val="00340204"/>
    <w:rsid w:val="00340C1A"/>
    <w:rsid w:val="003424C4"/>
    <w:rsid w:val="00342B00"/>
    <w:rsid w:val="00345CCF"/>
    <w:rsid w:val="00346251"/>
    <w:rsid w:val="0035121D"/>
    <w:rsid w:val="00351FEC"/>
    <w:rsid w:val="003522C7"/>
    <w:rsid w:val="00353315"/>
    <w:rsid w:val="00367452"/>
    <w:rsid w:val="003727B0"/>
    <w:rsid w:val="00374694"/>
    <w:rsid w:val="003754D2"/>
    <w:rsid w:val="00375C52"/>
    <w:rsid w:val="0037738E"/>
    <w:rsid w:val="00385EF4"/>
    <w:rsid w:val="00386BFD"/>
    <w:rsid w:val="00387983"/>
    <w:rsid w:val="003A1FF4"/>
    <w:rsid w:val="003A242B"/>
    <w:rsid w:val="003A3BA9"/>
    <w:rsid w:val="003A6032"/>
    <w:rsid w:val="003B5C05"/>
    <w:rsid w:val="003C1D7F"/>
    <w:rsid w:val="003C2279"/>
    <w:rsid w:val="003C2FB0"/>
    <w:rsid w:val="003D6E48"/>
    <w:rsid w:val="003E0693"/>
    <w:rsid w:val="003E26EF"/>
    <w:rsid w:val="003E3CED"/>
    <w:rsid w:val="003E3E9D"/>
    <w:rsid w:val="003E74FF"/>
    <w:rsid w:val="003F59E8"/>
    <w:rsid w:val="003F6647"/>
    <w:rsid w:val="0040632A"/>
    <w:rsid w:val="00407A99"/>
    <w:rsid w:val="0043219E"/>
    <w:rsid w:val="004335F9"/>
    <w:rsid w:val="00435BF1"/>
    <w:rsid w:val="0043756B"/>
    <w:rsid w:val="0044479B"/>
    <w:rsid w:val="00452AD7"/>
    <w:rsid w:val="00455645"/>
    <w:rsid w:val="00456335"/>
    <w:rsid w:val="00461EB5"/>
    <w:rsid w:val="004621A7"/>
    <w:rsid w:val="00466F5D"/>
    <w:rsid w:val="004717B7"/>
    <w:rsid w:val="004721F1"/>
    <w:rsid w:val="00480DB6"/>
    <w:rsid w:val="0049512E"/>
    <w:rsid w:val="004A7584"/>
    <w:rsid w:val="004B1B2E"/>
    <w:rsid w:val="004B479B"/>
    <w:rsid w:val="004C0D6E"/>
    <w:rsid w:val="004C16FE"/>
    <w:rsid w:val="004C462D"/>
    <w:rsid w:val="004E1BFB"/>
    <w:rsid w:val="004F7276"/>
    <w:rsid w:val="00504116"/>
    <w:rsid w:val="005042E1"/>
    <w:rsid w:val="00505E8F"/>
    <w:rsid w:val="005139F1"/>
    <w:rsid w:val="00514A2F"/>
    <w:rsid w:val="00524A4F"/>
    <w:rsid w:val="005301F2"/>
    <w:rsid w:val="005342A3"/>
    <w:rsid w:val="005348C1"/>
    <w:rsid w:val="0053578C"/>
    <w:rsid w:val="00537969"/>
    <w:rsid w:val="00542D1D"/>
    <w:rsid w:val="00553ADD"/>
    <w:rsid w:val="005545CF"/>
    <w:rsid w:val="005629B7"/>
    <w:rsid w:val="005722BD"/>
    <w:rsid w:val="005739D9"/>
    <w:rsid w:val="00573C80"/>
    <w:rsid w:val="00580FDE"/>
    <w:rsid w:val="00581551"/>
    <w:rsid w:val="00586597"/>
    <w:rsid w:val="00590ECA"/>
    <w:rsid w:val="00591727"/>
    <w:rsid w:val="00596D41"/>
    <w:rsid w:val="005A0538"/>
    <w:rsid w:val="005A3FA7"/>
    <w:rsid w:val="005A5157"/>
    <w:rsid w:val="005A520E"/>
    <w:rsid w:val="005A5A58"/>
    <w:rsid w:val="005A6B37"/>
    <w:rsid w:val="005B152D"/>
    <w:rsid w:val="005B344D"/>
    <w:rsid w:val="005B4D3A"/>
    <w:rsid w:val="005C5D05"/>
    <w:rsid w:val="005C7F88"/>
    <w:rsid w:val="005D5C68"/>
    <w:rsid w:val="005D6767"/>
    <w:rsid w:val="005E173E"/>
    <w:rsid w:val="005E1F8B"/>
    <w:rsid w:val="00604D73"/>
    <w:rsid w:val="00610C8B"/>
    <w:rsid w:val="0065106B"/>
    <w:rsid w:val="006513B6"/>
    <w:rsid w:val="00652E65"/>
    <w:rsid w:val="0065342A"/>
    <w:rsid w:val="00666CEF"/>
    <w:rsid w:val="0068052E"/>
    <w:rsid w:val="006826BD"/>
    <w:rsid w:val="006871AA"/>
    <w:rsid w:val="00693860"/>
    <w:rsid w:val="0069458C"/>
    <w:rsid w:val="006A1AC0"/>
    <w:rsid w:val="006A459A"/>
    <w:rsid w:val="006A5613"/>
    <w:rsid w:val="006B122B"/>
    <w:rsid w:val="006B5236"/>
    <w:rsid w:val="006B62B5"/>
    <w:rsid w:val="006C05D0"/>
    <w:rsid w:val="006C1EF3"/>
    <w:rsid w:val="006C3AC2"/>
    <w:rsid w:val="006C4440"/>
    <w:rsid w:val="006C4ACC"/>
    <w:rsid w:val="006E0691"/>
    <w:rsid w:val="006E2345"/>
    <w:rsid w:val="00706D78"/>
    <w:rsid w:val="0071233F"/>
    <w:rsid w:val="00726573"/>
    <w:rsid w:val="00734864"/>
    <w:rsid w:val="00735A20"/>
    <w:rsid w:val="0074193C"/>
    <w:rsid w:val="00742416"/>
    <w:rsid w:val="007437E5"/>
    <w:rsid w:val="007512EF"/>
    <w:rsid w:val="00751D2A"/>
    <w:rsid w:val="0075362E"/>
    <w:rsid w:val="00756809"/>
    <w:rsid w:val="00756BC6"/>
    <w:rsid w:val="00762173"/>
    <w:rsid w:val="007630F3"/>
    <w:rsid w:val="00763CAC"/>
    <w:rsid w:val="00772580"/>
    <w:rsid w:val="007755E3"/>
    <w:rsid w:val="00780CBC"/>
    <w:rsid w:val="00786A31"/>
    <w:rsid w:val="00787385"/>
    <w:rsid w:val="00793AA6"/>
    <w:rsid w:val="00795F84"/>
    <w:rsid w:val="00797232"/>
    <w:rsid w:val="007A21DB"/>
    <w:rsid w:val="007B7B87"/>
    <w:rsid w:val="007D0E51"/>
    <w:rsid w:val="007E01F3"/>
    <w:rsid w:val="007E19AB"/>
    <w:rsid w:val="007E32E6"/>
    <w:rsid w:val="007E5255"/>
    <w:rsid w:val="007E7438"/>
    <w:rsid w:val="007F17B0"/>
    <w:rsid w:val="007F292F"/>
    <w:rsid w:val="008002F3"/>
    <w:rsid w:val="0080048D"/>
    <w:rsid w:val="00804506"/>
    <w:rsid w:val="00812F5E"/>
    <w:rsid w:val="00816A23"/>
    <w:rsid w:val="00817147"/>
    <w:rsid w:val="00820D20"/>
    <w:rsid w:val="00821071"/>
    <w:rsid w:val="0082465C"/>
    <w:rsid w:val="0084741B"/>
    <w:rsid w:val="00851760"/>
    <w:rsid w:val="008534FC"/>
    <w:rsid w:val="00862474"/>
    <w:rsid w:val="00865121"/>
    <w:rsid w:val="0088540C"/>
    <w:rsid w:val="00885CF3"/>
    <w:rsid w:val="00887B34"/>
    <w:rsid w:val="00897FCE"/>
    <w:rsid w:val="008A0305"/>
    <w:rsid w:val="008A2E1E"/>
    <w:rsid w:val="008A6242"/>
    <w:rsid w:val="008A70B1"/>
    <w:rsid w:val="008B15EF"/>
    <w:rsid w:val="008B38AD"/>
    <w:rsid w:val="008B7CAF"/>
    <w:rsid w:val="008C0B9D"/>
    <w:rsid w:val="008C2B49"/>
    <w:rsid w:val="008C3372"/>
    <w:rsid w:val="008C50F7"/>
    <w:rsid w:val="008E07D3"/>
    <w:rsid w:val="008E22E8"/>
    <w:rsid w:val="008E6957"/>
    <w:rsid w:val="008E7BF0"/>
    <w:rsid w:val="008F3594"/>
    <w:rsid w:val="00904912"/>
    <w:rsid w:val="009170E4"/>
    <w:rsid w:val="00920929"/>
    <w:rsid w:val="009224FB"/>
    <w:rsid w:val="00930140"/>
    <w:rsid w:val="009302FB"/>
    <w:rsid w:val="009316AC"/>
    <w:rsid w:val="009327EE"/>
    <w:rsid w:val="00933C51"/>
    <w:rsid w:val="00934C0D"/>
    <w:rsid w:val="009378B5"/>
    <w:rsid w:val="00937F48"/>
    <w:rsid w:val="009414DC"/>
    <w:rsid w:val="009435B0"/>
    <w:rsid w:val="00945DAF"/>
    <w:rsid w:val="00945F59"/>
    <w:rsid w:val="009549EC"/>
    <w:rsid w:val="00956C1E"/>
    <w:rsid w:val="00957021"/>
    <w:rsid w:val="00972FFE"/>
    <w:rsid w:val="00974830"/>
    <w:rsid w:val="0098058D"/>
    <w:rsid w:val="00980B66"/>
    <w:rsid w:val="00985371"/>
    <w:rsid w:val="00985D96"/>
    <w:rsid w:val="0099283C"/>
    <w:rsid w:val="00997CA2"/>
    <w:rsid w:val="009A05C8"/>
    <w:rsid w:val="009A5352"/>
    <w:rsid w:val="009B7274"/>
    <w:rsid w:val="009C03FC"/>
    <w:rsid w:val="009D22F0"/>
    <w:rsid w:val="009E2292"/>
    <w:rsid w:val="009E3AC7"/>
    <w:rsid w:val="009E60DD"/>
    <w:rsid w:val="009E6553"/>
    <w:rsid w:val="009E7523"/>
    <w:rsid w:val="009F110D"/>
    <w:rsid w:val="009F5B15"/>
    <w:rsid w:val="009F63C1"/>
    <w:rsid w:val="009F6F6F"/>
    <w:rsid w:val="00A06CCB"/>
    <w:rsid w:val="00A205B3"/>
    <w:rsid w:val="00A21B56"/>
    <w:rsid w:val="00A23CF0"/>
    <w:rsid w:val="00A33912"/>
    <w:rsid w:val="00A34225"/>
    <w:rsid w:val="00A34A4D"/>
    <w:rsid w:val="00A37EDA"/>
    <w:rsid w:val="00A46101"/>
    <w:rsid w:val="00A57E56"/>
    <w:rsid w:val="00A60541"/>
    <w:rsid w:val="00A6376C"/>
    <w:rsid w:val="00A67A07"/>
    <w:rsid w:val="00A71FAB"/>
    <w:rsid w:val="00A7355C"/>
    <w:rsid w:val="00A7412C"/>
    <w:rsid w:val="00A77004"/>
    <w:rsid w:val="00A8298D"/>
    <w:rsid w:val="00A834F2"/>
    <w:rsid w:val="00A863CA"/>
    <w:rsid w:val="00A87F73"/>
    <w:rsid w:val="00A962BD"/>
    <w:rsid w:val="00A974A4"/>
    <w:rsid w:val="00AA09A6"/>
    <w:rsid w:val="00AA195D"/>
    <w:rsid w:val="00AA1FC3"/>
    <w:rsid w:val="00AA4DA2"/>
    <w:rsid w:val="00AA65FF"/>
    <w:rsid w:val="00AB53B8"/>
    <w:rsid w:val="00AC5B83"/>
    <w:rsid w:val="00AD033D"/>
    <w:rsid w:val="00AD176D"/>
    <w:rsid w:val="00AE1CF7"/>
    <w:rsid w:val="00AF15A9"/>
    <w:rsid w:val="00AF45A4"/>
    <w:rsid w:val="00AF4BCD"/>
    <w:rsid w:val="00B05953"/>
    <w:rsid w:val="00B0700B"/>
    <w:rsid w:val="00B07AFF"/>
    <w:rsid w:val="00B12CBE"/>
    <w:rsid w:val="00B13131"/>
    <w:rsid w:val="00B133C5"/>
    <w:rsid w:val="00B23A67"/>
    <w:rsid w:val="00B27584"/>
    <w:rsid w:val="00B33D23"/>
    <w:rsid w:val="00B37AEF"/>
    <w:rsid w:val="00B5036F"/>
    <w:rsid w:val="00B53D7A"/>
    <w:rsid w:val="00B63ADA"/>
    <w:rsid w:val="00B70C0F"/>
    <w:rsid w:val="00B723BC"/>
    <w:rsid w:val="00B72733"/>
    <w:rsid w:val="00B74A62"/>
    <w:rsid w:val="00B74BA4"/>
    <w:rsid w:val="00B83209"/>
    <w:rsid w:val="00B83C7F"/>
    <w:rsid w:val="00B85F00"/>
    <w:rsid w:val="00B86434"/>
    <w:rsid w:val="00B91371"/>
    <w:rsid w:val="00B9295B"/>
    <w:rsid w:val="00B92DEB"/>
    <w:rsid w:val="00B93AE3"/>
    <w:rsid w:val="00B9511B"/>
    <w:rsid w:val="00B962D4"/>
    <w:rsid w:val="00BA4821"/>
    <w:rsid w:val="00BB082C"/>
    <w:rsid w:val="00BD0088"/>
    <w:rsid w:val="00BD411A"/>
    <w:rsid w:val="00BD48A1"/>
    <w:rsid w:val="00BE0A9A"/>
    <w:rsid w:val="00BE0E5C"/>
    <w:rsid w:val="00BE3E2B"/>
    <w:rsid w:val="00BF15C1"/>
    <w:rsid w:val="00BF5DD2"/>
    <w:rsid w:val="00C1022F"/>
    <w:rsid w:val="00C102A1"/>
    <w:rsid w:val="00C11EA1"/>
    <w:rsid w:val="00C17B53"/>
    <w:rsid w:val="00C2153E"/>
    <w:rsid w:val="00C2238D"/>
    <w:rsid w:val="00C3744C"/>
    <w:rsid w:val="00C37AD2"/>
    <w:rsid w:val="00C37B1F"/>
    <w:rsid w:val="00C553D1"/>
    <w:rsid w:val="00C5603B"/>
    <w:rsid w:val="00C61696"/>
    <w:rsid w:val="00C63077"/>
    <w:rsid w:val="00C63242"/>
    <w:rsid w:val="00C64A60"/>
    <w:rsid w:val="00C679ED"/>
    <w:rsid w:val="00C70CAF"/>
    <w:rsid w:val="00C929B2"/>
    <w:rsid w:val="00CA11AC"/>
    <w:rsid w:val="00CA50B1"/>
    <w:rsid w:val="00CA5847"/>
    <w:rsid w:val="00CB0D4E"/>
    <w:rsid w:val="00CC1794"/>
    <w:rsid w:val="00CC18E3"/>
    <w:rsid w:val="00CC43E3"/>
    <w:rsid w:val="00CC6916"/>
    <w:rsid w:val="00CD6A0B"/>
    <w:rsid w:val="00CE118B"/>
    <w:rsid w:val="00CE3300"/>
    <w:rsid w:val="00CE5801"/>
    <w:rsid w:val="00CE7A02"/>
    <w:rsid w:val="00CF29AD"/>
    <w:rsid w:val="00CF5AF9"/>
    <w:rsid w:val="00D164C2"/>
    <w:rsid w:val="00D17521"/>
    <w:rsid w:val="00D219F8"/>
    <w:rsid w:val="00D22C41"/>
    <w:rsid w:val="00D24114"/>
    <w:rsid w:val="00D25061"/>
    <w:rsid w:val="00D32A43"/>
    <w:rsid w:val="00D35EE2"/>
    <w:rsid w:val="00D42258"/>
    <w:rsid w:val="00D50B53"/>
    <w:rsid w:val="00D51A0D"/>
    <w:rsid w:val="00D52990"/>
    <w:rsid w:val="00D54BFD"/>
    <w:rsid w:val="00D630E3"/>
    <w:rsid w:val="00D8348E"/>
    <w:rsid w:val="00D8414A"/>
    <w:rsid w:val="00D849D6"/>
    <w:rsid w:val="00D84D3E"/>
    <w:rsid w:val="00D86075"/>
    <w:rsid w:val="00D87013"/>
    <w:rsid w:val="00D87BDC"/>
    <w:rsid w:val="00D91EB0"/>
    <w:rsid w:val="00DA03D6"/>
    <w:rsid w:val="00DA51A3"/>
    <w:rsid w:val="00DB1D38"/>
    <w:rsid w:val="00DC0A18"/>
    <w:rsid w:val="00DC6BD4"/>
    <w:rsid w:val="00DD1A04"/>
    <w:rsid w:val="00DD3DC4"/>
    <w:rsid w:val="00DD5759"/>
    <w:rsid w:val="00DE02EB"/>
    <w:rsid w:val="00DE2CE7"/>
    <w:rsid w:val="00DE3D22"/>
    <w:rsid w:val="00DF522F"/>
    <w:rsid w:val="00DF797C"/>
    <w:rsid w:val="00E1460B"/>
    <w:rsid w:val="00E20B71"/>
    <w:rsid w:val="00E22C69"/>
    <w:rsid w:val="00E2784D"/>
    <w:rsid w:val="00E30796"/>
    <w:rsid w:val="00E33B38"/>
    <w:rsid w:val="00E444DD"/>
    <w:rsid w:val="00E47E42"/>
    <w:rsid w:val="00E51C87"/>
    <w:rsid w:val="00E53AC7"/>
    <w:rsid w:val="00E5666C"/>
    <w:rsid w:val="00E60B08"/>
    <w:rsid w:val="00E70B96"/>
    <w:rsid w:val="00E71B95"/>
    <w:rsid w:val="00E850AF"/>
    <w:rsid w:val="00E85349"/>
    <w:rsid w:val="00E9447A"/>
    <w:rsid w:val="00EA101F"/>
    <w:rsid w:val="00EA7B66"/>
    <w:rsid w:val="00EB4B75"/>
    <w:rsid w:val="00ED0F66"/>
    <w:rsid w:val="00ED62F3"/>
    <w:rsid w:val="00EF48E4"/>
    <w:rsid w:val="00F03330"/>
    <w:rsid w:val="00F0526C"/>
    <w:rsid w:val="00F10EC1"/>
    <w:rsid w:val="00F13F88"/>
    <w:rsid w:val="00F6645C"/>
    <w:rsid w:val="00F8041E"/>
    <w:rsid w:val="00F871BF"/>
    <w:rsid w:val="00F9389D"/>
    <w:rsid w:val="00FA0F96"/>
    <w:rsid w:val="00FB0B6B"/>
    <w:rsid w:val="00FB0D7F"/>
    <w:rsid w:val="00FB294E"/>
    <w:rsid w:val="00FB3C32"/>
    <w:rsid w:val="00FB5447"/>
    <w:rsid w:val="00FC497C"/>
    <w:rsid w:val="00FD07F4"/>
    <w:rsid w:val="00FD75B2"/>
    <w:rsid w:val="00FE1EED"/>
    <w:rsid w:val="00FE587A"/>
    <w:rsid w:val="00FF1BE2"/>
    <w:rsid w:val="00FF29A1"/>
    <w:rsid w:val="00FF3BAE"/>
    <w:rsid w:val="09811D8D"/>
    <w:rsid w:val="0DE708CD"/>
    <w:rsid w:val="135E6CD6"/>
    <w:rsid w:val="194E1F14"/>
    <w:rsid w:val="3BD73689"/>
    <w:rsid w:val="3CF12935"/>
    <w:rsid w:val="44BD7C36"/>
    <w:rsid w:val="57065D5D"/>
    <w:rsid w:val="5CA97C7F"/>
    <w:rsid w:val="737E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889B897-0D6F-4D79-ADA1-8D193E02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AF15A9"/>
    <w:rPr>
      <w:rFonts w:eastAsia="Times New Roman" w:cs="Times New Roman"/>
      <w:sz w:val="24"/>
      <w:szCs w:val="24"/>
    </w:rPr>
  </w:style>
  <w:style w:type="paragraph" w:styleId="Heading1">
    <w:name w:val="heading 1"/>
    <w:basedOn w:val="Normal"/>
    <w:next w:val="Normal"/>
    <w:link w:val="Heading1Char"/>
    <w:uiPriority w:val="9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9"/>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BalloonText">
    <w:name w:val="Balloon Text"/>
    <w:basedOn w:val="Normal"/>
    <w:link w:val="BalloonTextChar"/>
    <w:uiPriority w:val="99"/>
    <w:semiHidden/>
    <w:unhideWhenUsed/>
    <w:qFormat/>
    <w:rPr>
      <w:rFonts w:ascii="Segoe UI" w:hAnsi="Segoe UI"/>
      <w:sz w:val="18"/>
      <w:szCs w:val="18"/>
      <w:lang w:val="zh-CN" w:eastAsia="zh-CN"/>
    </w:rPr>
  </w:style>
  <w:style w:type="paragraph" w:styleId="BodyText">
    <w:name w:val="Body Text"/>
    <w:basedOn w:val="Normal"/>
    <w:link w:val="BodyTextChar"/>
    <w:uiPriority w:val="99"/>
    <w:qFormat/>
    <w:pPr>
      <w:jc w:val="center"/>
    </w:pPr>
    <w:rPr>
      <w:rFonts w:ascii=".VnClarendonH" w:eastAsia="Batang" w:hAnsi=".VnClarendonH"/>
      <w:sz w:val="26"/>
      <w:szCs w:val="20"/>
    </w:rPr>
  </w:style>
  <w:style w:type="paragraph" w:styleId="BodyTextIndent2">
    <w:name w:val="Body Text Indent 2"/>
    <w:basedOn w:val="Normal"/>
    <w:link w:val="BodyTextIndent2Char"/>
    <w:uiPriority w:val="99"/>
    <w:qFormat/>
    <w:pPr>
      <w:ind w:firstLine="560"/>
      <w:jc w:val="both"/>
    </w:pPr>
    <w:rPr>
      <w:color w:val="000000"/>
      <w:sz w:val="28"/>
      <w:szCs w:val="20"/>
    </w:rPr>
  </w:style>
  <w:style w:type="paragraph" w:styleId="Caption">
    <w:name w:val="caption"/>
    <w:basedOn w:val="Normal"/>
    <w:next w:val="Normal"/>
    <w:uiPriority w:val="35"/>
    <w:qFormat/>
    <w:pPr>
      <w:spacing w:after="200"/>
    </w:pPr>
    <w:rPr>
      <w:i/>
      <w:iCs/>
      <w:color w:val="44546A"/>
      <w:sz w:val="18"/>
      <w:szCs w:val="18"/>
    </w:rPr>
  </w:style>
  <w:style w:type="character" w:styleId="CommentReference">
    <w:name w:val="annotation reference"/>
    <w:uiPriority w:val="99"/>
    <w:unhideWhenUsed/>
    <w:qFormat/>
    <w:rPr>
      <w:rFonts w:hint="default"/>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rFonts w:hint="default"/>
      <w:i/>
      <w:iCs/>
    </w:rPr>
  </w:style>
  <w:style w:type="character" w:styleId="EndnoteReference">
    <w:name w:val="endnote reference"/>
    <w:uiPriority w:val="99"/>
    <w:semiHidden/>
    <w:unhideWhenUsed/>
    <w:qFormat/>
    <w:rPr>
      <w:rFonts w:hint="default"/>
      <w:vertAlign w:val="superscript"/>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uiPriority w:val="99"/>
    <w:semiHidden/>
    <w:unhideWhenUsed/>
    <w:qFormat/>
    <w:rPr>
      <w:rFonts w:hint="default"/>
      <w:color w:val="954F72"/>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semiHidden/>
    <w:unhideWhenUsed/>
    <w:qFormat/>
    <w:rPr>
      <w:rFonts w:hint="default"/>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qFormat/>
    <w:rPr>
      <w:rFonts w:hint="default"/>
      <w:color w:val="0563C1"/>
      <w:u w:val="single"/>
    </w:rPr>
  </w:style>
  <w:style w:type="paragraph" w:styleId="Index1">
    <w:name w:val="index 1"/>
    <w:basedOn w:val="Normal"/>
    <w:next w:val="Normal"/>
    <w:uiPriority w:val="99"/>
    <w:semiHidden/>
    <w:pPr>
      <w:spacing w:before="120" w:after="120"/>
      <w:jc w:val="both"/>
    </w:pPr>
    <w:rPr>
      <w:sz w:val="28"/>
      <w:szCs w:val="20"/>
      <w:lang w:val="nl-NL"/>
    </w:rPr>
  </w:style>
  <w:style w:type="paragraph" w:styleId="NormalWeb">
    <w:name w:val="Normal (Web)"/>
    <w:basedOn w:val="Normal"/>
    <w:link w:val="NormalWebChar"/>
    <w:uiPriority w:val="99"/>
    <w:unhideWhenUsed/>
    <w:qFormat/>
    <w:pPr>
      <w:spacing w:before="100" w:after="100"/>
    </w:pPr>
    <w:rPr>
      <w:lang w:val="zh-CN" w:eastAsia="ja-JP"/>
    </w:rPr>
  </w:style>
  <w:style w:type="character" w:styleId="PageNumber">
    <w:name w:val="page number"/>
    <w:uiPriority w:val="99"/>
    <w:qFormat/>
    <w:rPr>
      <w:rFonts w:hint="default"/>
    </w:rPr>
  </w:style>
  <w:style w:type="paragraph" w:styleId="PlainText">
    <w:name w:val="Plain Text"/>
    <w:basedOn w:val="Normal"/>
    <w:link w:val="PlainTextChar"/>
    <w:uiPriority w:val="99"/>
    <w:semiHidden/>
    <w:unhideWhenUsed/>
    <w:qFormat/>
    <w:rPr>
      <w:rFonts w:ascii="Courier New" w:hAnsi="Courier New" w:cs="Courier New"/>
      <w:sz w:val="21"/>
      <w:szCs w:val="21"/>
    </w:rPr>
  </w:style>
  <w:style w:type="character" w:styleId="Strong">
    <w:name w:val="Strong"/>
    <w:uiPriority w:val="22"/>
    <w:qFormat/>
    <w:rPr>
      <w:rFonts w:ascii="Times New Roman" w:eastAsia="MS Mincho" w:hAnsi="Times New Roman" w:cs="Times New Roman" w:hint="default"/>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qFormat/>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99"/>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ooterChar">
    <w:name w:val="Footer Char"/>
    <w:basedOn w:val="DefaultParagraphFont"/>
    <w:link w:val="Footer"/>
    <w:uiPriority w:val="99"/>
    <w:qFormat/>
    <w:rPr>
      <w:rFonts w:eastAsia="Times New Roman" w:cs="Times New Roman"/>
      <w:szCs w:val="24"/>
    </w:rPr>
  </w:style>
  <w:style w:type="character" w:customStyle="1" w:styleId="NormalWebChar">
    <w:name w:val="Normal (Web) Char"/>
    <w:link w:val="NormalWeb"/>
    <w:uiPriority w:val="99"/>
    <w:qFormat/>
    <w:rPr>
      <w:rFonts w:eastAsia="Times New Roman" w:cs="Times New Roman"/>
      <w:szCs w:val="24"/>
      <w:lang w:val="zh-CN" w:eastAsia="ja-JP"/>
    </w:rPr>
  </w:style>
  <w:style w:type="character" w:customStyle="1" w:styleId="ListParagraphChar">
    <w:name w:val="List Paragraph Char"/>
    <w:link w:val="ListParagraph"/>
    <w:uiPriority w:val="99"/>
    <w:qFormat/>
  </w:style>
  <w:style w:type="character" w:customStyle="1" w:styleId="BalloonTextChar">
    <w:name w:val="Balloon Text Char"/>
    <w:basedOn w:val="DefaultParagraphFont"/>
    <w:link w:val="BalloonText"/>
    <w:uiPriority w:val="99"/>
    <w:semiHidden/>
    <w:qFormat/>
    <w:rPr>
      <w:rFonts w:ascii="Segoe UI" w:eastAsia="Times New Roman" w:hAnsi="Segoe UI" w:cs="Times New Roman"/>
      <w:sz w:val="18"/>
      <w:szCs w:val="18"/>
      <w:lang w:val="zh-CN" w:eastAsia="zh-CN"/>
    </w:rPr>
  </w:style>
  <w:style w:type="paragraph" w:customStyle="1" w:styleId="CharChar3CharChar">
    <w:name w:val="Char Char3 Char Char"/>
    <w:basedOn w:val="Normal"/>
    <w:uiPriority w:val="99"/>
    <w:qFormat/>
    <w:pPr>
      <w:pageBreakBefore/>
      <w:spacing w:before="100" w:after="100"/>
      <w:jc w:val="both"/>
    </w:pPr>
    <w:rPr>
      <w:rFonts w:ascii="Tahoma" w:hAnsi="Tahoma"/>
      <w:spacing w:val="-4"/>
      <w:sz w:val="20"/>
      <w:szCs w:val="20"/>
    </w:rPr>
  </w:style>
  <w:style w:type="character" w:customStyle="1" w:styleId="Diem-h1">
    <w:name w:val="Diem-h1"/>
    <w:uiPriority w:val="99"/>
    <w:qFormat/>
    <w:rPr>
      <w:rFonts w:ascii="Times New Roman" w:hAnsi="Times New Roman" w:cs="Times New Roman" w:hint="default"/>
      <w:sz w:val="26"/>
      <w:szCs w:val="26"/>
    </w:rPr>
  </w:style>
  <w:style w:type="paragraph" w:customStyle="1" w:styleId="A">
    <w:name w:val="A"/>
    <w:basedOn w:val="Normal"/>
    <w:link w:val="AChar"/>
    <w:uiPriority w:val="99"/>
    <w:qFormat/>
    <w:pPr>
      <w:spacing w:before="60"/>
      <w:ind w:firstLine="700"/>
      <w:jc w:val="both"/>
    </w:pPr>
    <w:rPr>
      <w:b/>
      <w:color w:val="000000"/>
      <w:sz w:val="28"/>
      <w:szCs w:val="28"/>
      <w:lang w:val="zh-CN" w:eastAsia="zh-CN"/>
    </w:rPr>
  </w:style>
  <w:style w:type="character" w:customStyle="1" w:styleId="AChar">
    <w:name w:val="A Char"/>
    <w:link w:val="A"/>
    <w:uiPriority w:val="99"/>
    <w:qFormat/>
    <w:rPr>
      <w:rFonts w:eastAsia="Times New Roman" w:cs="Times New Roman"/>
      <w:b/>
      <w:color w:val="000000"/>
      <w:sz w:val="28"/>
      <w:szCs w:val="28"/>
      <w:lang w:val="zh-CN" w:eastAsia="zh-CN"/>
    </w:rPr>
  </w:style>
  <w:style w:type="character" w:customStyle="1" w:styleId="HeaderChar">
    <w:name w:val="Header Char"/>
    <w:basedOn w:val="DefaultParagraphFont"/>
    <w:link w:val="Header"/>
    <w:uiPriority w:val="99"/>
    <w:qFormat/>
    <w:rPr>
      <w:rFonts w:eastAsia="Times New Roman" w:cs="Times New Roman"/>
      <w:szCs w:val="24"/>
    </w:rPr>
  </w:style>
  <w:style w:type="character" w:customStyle="1" w:styleId="Fontstyle01">
    <w:name w:val="Fontstyle01"/>
    <w:uiPriority w:val="99"/>
    <w:qFormat/>
    <w:rPr>
      <w:rFonts w:ascii="TimesNewRomanPSMT" w:hAnsi="TimesNewRomanPSMT" w:hint="default"/>
      <w:color w:val="000000"/>
      <w:sz w:val="28"/>
      <w:szCs w:val="28"/>
    </w:rPr>
  </w:style>
  <w:style w:type="character" w:customStyle="1" w:styleId="CommentTextChar">
    <w:name w:val="Comment Text Char"/>
    <w:basedOn w:val="DefaultParagraphFont"/>
    <w:link w:val="CommentText"/>
    <w:uiPriority w:val="99"/>
    <w:qFormat/>
    <w:rPr>
      <w:rFonts w:eastAsia="Times New Roman" w:cs="Times New Roman"/>
      <w:sz w:val="20"/>
      <w:szCs w:val="20"/>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character" w:customStyle="1" w:styleId="BodyTextChar">
    <w:name w:val="Body Text Char"/>
    <w:basedOn w:val="DefaultParagraphFont"/>
    <w:link w:val="BodyText"/>
    <w:uiPriority w:val="99"/>
    <w:qFormat/>
    <w:rPr>
      <w:rFonts w:ascii=".VnClarendonH" w:eastAsia="Batang" w:hAnsi=".VnClarendonH" w:cs="Times New Roman"/>
      <w:sz w:val="26"/>
      <w:szCs w:val="20"/>
    </w:rPr>
  </w:style>
  <w:style w:type="character" w:customStyle="1" w:styleId="BodyTextIndent2Char">
    <w:name w:val="Body Text Indent 2 Char"/>
    <w:basedOn w:val="DefaultParagraphFont"/>
    <w:link w:val="BodyTextIndent2"/>
    <w:uiPriority w:val="99"/>
    <w:qFormat/>
    <w:rPr>
      <w:rFonts w:eastAsia="Times New Roman" w:cs="Times New Roman"/>
      <w:color w:val="000000"/>
      <w:sz w:val="28"/>
      <w:szCs w:val="20"/>
    </w:rPr>
  </w:style>
  <w:style w:type="paragraph" w:customStyle="1" w:styleId="Style1">
    <w:name w:val="Style1"/>
    <w:basedOn w:val="BodyText"/>
    <w:uiPriority w:val="99"/>
    <w:qFormat/>
    <w:pPr>
      <w:widowControl w:val="0"/>
      <w:spacing w:line="440" w:lineRule="exact"/>
      <w:ind w:firstLine="720"/>
      <w:jc w:val="both"/>
    </w:pPr>
    <w:rPr>
      <w:rFonts w:ascii=".VnTime" w:hAnsi=".VnTime"/>
      <w:sz w:val="28"/>
    </w:rPr>
  </w:style>
  <w:style w:type="character" w:customStyle="1" w:styleId="UnresolvedMention1">
    <w:name w:val="Unresolved Mention1"/>
    <w:uiPriority w:val="99"/>
    <w:semiHidden/>
    <w:unhideWhenUsed/>
    <w:rPr>
      <w:rFonts w:hint="default"/>
      <w:color w:val="605E5C"/>
      <w:shd w:val="clear" w:color="auto" w:fill="E1DFDD"/>
    </w:rPr>
  </w:style>
  <w:style w:type="character" w:customStyle="1" w:styleId="FootnoteTextChar">
    <w:name w:val="Footnote Text Char"/>
    <w:basedOn w:val="DefaultParagraphFont"/>
    <w:link w:val="FootnoteText"/>
    <w:uiPriority w:val="99"/>
    <w:semiHidden/>
    <w:qFormat/>
    <w:rPr>
      <w:rFonts w:eastAsia="Times New Roman" w:cs="Times New Roman"/>
      <w:sz w:val="20"/>
      <w:szCs w:val="20"/>
    </w:rPr>
  </w:style>
  <w:style w:type="paragraph" w:customStyle="1" w:styleId="Msonormal0">
    <w:name w:val="Msonormal"/>
    <w:basedOn w:val="Normal"/>
    <w:uiPriority w:val="99"/>
    <w:qFormat/>
    <w:pPr>
      <w:spacing w:before="100" w:after="100"/>
    </w:pPr>
  </w:style>
  <w:style w:type="paragraph" w:styleId="NoSpacing">
    <w:name w:val="No Spacing"/>
    <w:uiPriority w:val="1"/>
    <w:qFormat/>
    <w:rPr>
      <w:rFonts w:eastAsia="Times New Roman" w:cs="Times New Roman"/>
    </w:rPr>
  </w:style>
  <w:style w:type="character" w:customStyle="1" w:styleId="SubtleEmphasis1">
    <w:name w:val="Subtle Emphasis1"/>
    <w:uiPriority w:val="19"/>
    <w:qFormat/>
    <w:rPr>
      <w:rFonts w:hint="default"/>
      <w:i/>
      <w:iCs/>
      <w:color w:val="808080"/>
    </w:rPr>
  </w:style>
  <w:style w:type="character" w:customStyle="1" w:styleId="SubtleReference1">
    <w:name w:val="Subtle Reference1"/>
    <w:uiPriority w:val="31"/>
    <w:qFormat/>
    <w:rPr>
      <w:rFonts w:hint="default"/>
      <w:smallCaps/>
      <w:color w:val="ED7D31"/>
      <w:u w:val="single"/>
    </w:rPr>
  </w:style>
  <w:style w:type="character" w:customStyle="1" w:styleId="BookTitle1">
    <w:name w:val="Book Title1"/>
    <w:uiPriority w:val="33"/>
    <w:qFormat/>
    <w:rPr>
      <w:rFonts w:hint="default"/>
      <w:b/>
      <w:bCs/>
      <w:smallCaps/>
      <w:spacing w:val="5"/>
    </w:rPr>
  </w:style>
  <w:style w:type="character" w:customStyle="1" w:styleId="EndnoteTextChar">
    <w:name w:val="Endnote Text Char"/>
    <w:basedOn w:val="DefaultParagraphFont"/>
    <w:link w:val="EndnoteText"/>
    <w:uiPriority w:val="99"/>
    <w:semiHidden/>
    <w:qFormat/>
    <w:rPr>
      <w:rFonts w:eastAsia="Times New Roman" w:cs="Times New Roman"/>
      <w:sz w:val="20"/>
      <w:szCs w:val="20"/>
    </w:rPr>
  </w:style>
  <w:style w:type="character" w:customStyle="1" w:styleId="PlainTextChar">
    <w:name w:val="Plain Text Char"/>
    <w:basedOn w:val="DefaultParagraphFont"/>
    <w:link w:val="PlainText"/>
    <w:uiPriority w:val="99"/>
    <w:semiHidden/>
    <w:qFormat/>
    <w:rPr>
      <w:rFonts w:ascii="Courier New" w:eastAsia="Times New Roman" w:hAnsi="Courier New" w:cs="Courier New"/>
      <w:sz w:val="21"/>
      <w:szCs w:val="21"/>
    </w:rPr>
  </w:style>
  <w:style w:type="character" w:customStyle="1" w:styleId="citation-681">
    <w:name w:val="citation-681"/>
    <w:basedOn w:val="DefaultParagraphFont"/>
    <w:rsid w:val="008A0305"/>
  </w:style>
  <w:style w:type="character" w:customStyle="1" w:styleId="citation-680">
    <w:name w:val="citation-680"/>
    <w:basedOn w:val="DefaultParagraphFont"/>
    <w:rsid w:val="008A0305"/>
  </w:style>
  <w:style w:type="character" w:customStyle="1" w:styleId="citation-679">
    <w:name w:val="citation-679"/>
    <w:basedOn w:val="DefaultParagraphFont"/>
    <w:rsid w:val="008A0305"/>
  </w:style>
  <w:style w:type="character" w:customStyle="1" w:styleId="citation-769">
    <w:name w:val="citation-769"/>
    <w:basedOn w:val="DefaultParagraphFont"/>
    <w:rsid w:val="00271A16"/>
  </w:style>
  <w:style w:type="character" w:customStyle="1" w:styleId="citation-767">
    <w:name w:val="citation-767"/>
    <w:basedOn w:val="DefaultParagraphFont"/>
    <w:rsid w:val="00271A16"/>
  </w:style>
  <w:style w:type="character" w:customStyle="1" w:styleId="citation-741">
    <w:name w:val="citation-741"/>
    <w:basedOn w:val="DefaultParagraphFont"/>
    <w:rsid w:val="00AF45A4"/>
  </w:style>
  <w:style w:type="character" w:customStyle="1" w:styleId="citation-740">
    <w:name w:val="citation-740"/>
    <w:basedOn w:val="DefaultParagraphFont"/>
    <w:rsid w:val="00AF45A4"/>
  </w:style>
  <w:style w:type="character" w:customStyle="1" w:styleId="citation-739">
    <w:name w:val="citation-739"/>
    <w:basedOn w:val="DefaultParagraphFont"/>
    <w:rsid w:val="0084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56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ゴシック"/>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Bay</dc:creator>
  <cp:lastModifiedBy>NEW</cp:lastModifiedBy>
  <cp:revision>2</cp:revision>
  <cp:lastPrinted>2026-04-24T05:06:00Z</cp:lastPrinted>
  <dcterms:created xsi:type="dcterms:W3CDTF">2026-04-29T02:34:00Z</dcterms:created>
  <dcterms:modified xsi:type="dcterms:W3CDTF">2026-04-29T02:34:00Z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342DD0E5B93A431382B48CBFAAD53E2F_12</vt:lpwstr>
  </property>
</Properties>
</file>